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FC5C4" w14:textId="77777777" w:rsidR="00F71170" w:rsidRPr="00CB3206" w:rsidRDefault="00F71170" w:rsidP="00F71170">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lang w:val="nl-BE"/>
        </w:rPr>
      </w:pPr>
      <w:r w:rsidRPr="00CB3206">
        <w:rPr>
          <w:rFonts w:asciiTheme="minorHAnsi" w:hAnsiTheme="minorHAnsi"/>
          <w:b/>
          <w:sz w:val="22"/>
          <w:szCs w:val="22"/>
          <w:lang w:val="nl-BE"/>
        </w:rPr>
        <w:t>North Sea Wind</w:t>
      </w:r>
    </w:p>
    <w:p w14:paraId="31E2B3DD" w14:textId="77777777" w:rsidR="00F71170" w:rsidRPr="00CB3206" w:rsidRDefault="00F71170" w:rsidP="00F71170">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lang w:val="nl-BE"/>
        </w:rPr>
      </w:pPr>
      <w:r w:rsidRPr="00CB3206">
        <w:rPr>
          <w:rFonts w:asciiTheme="minorHAnsi" w:hAnsiTheme="minorHAnsi"/>
          <w:b/>
          <w:sz w:val="22"/>
          <w:szCs w:val="22"/>
          <w:lang w:val="nl-BE"/>
        </w:rPr>
        <w:t>Coöperatieve vennootschap</w:t>
      </w:r>
    </w:p>
    <w:p w14:paraId="611AFFF2" w14:textId="77777777" w:rsidR="00F71170" w:rsidRPr="00071061" w:rsidRDefault="00F71170" w:rsidP="00F7117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lang w:val="nl-BE"/>
        </w:rPr>
      </w:pPr>
      <w:r w:rsidRPr="00071061">
        <w:rPr>
          <w:rFonts w:asciiTheme="minorHAnsi" w:hAnsiTheme="minorHAnsi"/>
          <w:sz w:val="22"/>
          <w:szCs w:val="22"/>
          <w:lang w:val="nl-BE"/>
        </w:rPr>
        <w:t>Sint-Maartenstraat 5</w:t>
      </w:r>
    </w:p>
    <w:p w14:paraId="63D9DEDF" w14:textId="77777777" w:rsidR="00F71170" w:rsidRPr="00071061" w:rsidRDefault="00F71170" w:rsidP="00F7117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lang w:val="nl-BE"/>
        </w:rPr>
      </w:pPr>
      <w:r w:rsidRPr="00071061">
        <w:rPr>
          <w:rFonts w:asciiTheme="minorHAnsi" w:hAnsiTheme="minorHAnsi"/>
          <w:sz w:val="22"/>
          <w:szCs w:val="22"/>
          <w:lang w:val="nl-BE"/>
        </w:rPr>
        <w:t>3000 Leuven</w:t>
      </w:r>
    </w:p>
    <w:p w14:paraId="384809CC" w14:textId="77777777" w:rsidR="00F71170" w:rsidRPr="00071061" w:rsidRDefault="00F71170" w:rsidP="00F71170">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lang w:val="nl-BE"/>
        </w:rPr>
      </w:pPr>
      <w:r w:rsidRPr="00071061">
        <w:rPr>
          <w:rFonts w:asciiTheme="minorHAnsi" w:hAnsiTheme="minorHAnsi"/>
          <w:sz w:val="22"/>
          <w:szCs w:val="22"/>
          <w:lang w:val="nl-BE"/>
        </w:rPr>
        <w:t>BTW BE 0715.938.489</w:t>
      </w:r>
    </w:p>
    <w:p w14:paraId="00EDB8E3" w14:textId="77777777" w:rsidR="00F71170" w:rsidRPr="00071061" w:rsidRDefault="00F71170" w:rsidP="00F71170">
      <w:pPr>
        <w:pBdr>
          <w:bottom w:val="single" w:sz="4" w:space="1" w:color="auto"/>
        </w:pBdr>
        <w:rPr>
          <w:rFonts w:asciiTheme="minorHAnsi" w:hAnsiTheme="minorHAnsi"/>
          <w:sz w:val="22"/>
          <w:szCs w:val="22"/>
          <w:lang w:val="nl-NL" w:eastAsia="nl-NL"/>
        </w:rPr>
      </w:pPr>
    </w:p>
    <w:p w14:paraId="3ADA859A" w14:textId="77777777" w:rsidR="00F71170" w:rsidRPr="00071061" w:rsidRDefault="00F71170" w:rsidP="00F71170">
      <w:pPr>
        <w:jc w:val="center"/>
        <w:rPr>
          <w:rFonts w:asciiTheme="minorHAnsi" w:hAnsiTheme="minorHAnsi"/>
          <w:sz w:val="22"/>
          <w:szCs w:val="22"/>
          <w:lang w:val="nl-NL" w:eastAsia="nl-NL"/>
        </w:rPr>
      </w:pPr>
      <w:r w:rsidRPr="00071061">
        <w:rPr>
          <w:rFonts w:asciiTheme="minorHAnsi" w:hAnsiTheme="minorHAnsi"/>
          <w:sz w:val="22"/>
          <w:szCs w:val="22"/>
          <w:lang w:val="nl-NL" w:eastAsia="nl-NL"/>
        </w:rPr>
        <w:t>JAARVERSLAG VAN DE RAAD VAN BESTUUR VAN N</w:t>
      </w:r>
      <w:r>
        <w:rPr>
          <w:rFonts w:asciiTheme="minorHAnsi" w:hAnsiTheme="minorHAnsi"/>
          <w:sz w:val="22"/>
          <w:szCs w:val="22"/>
          <w:lang w:val="nl-NL" w:eastAsia="nl-NL"/>
        </w:rPr>
        <w:t>ORTH SEA WIND</w:t>
      </w:r>
      <w:r w:rsidRPr="00071061">
        <w:rPr>
          <w:rFonts w:asciiTheme="minorHAnsi" w:hAnsiTheme="minorHAnsi"/>
          <w:sz w:val="22"/>
          <w:szCs w:val="22"/>
          <w:lang w:val="nl-NL" w:eastAsia="nl-NL"/>
        </w:rPr>
        <w:t xml:space="preserve"> CV </w:t>
      </w:r>
    </w:p>
    <w:p w14:paraId="6C443412" w14:textId="77777777" w:rsidR="00F71170" w:rsidRPr="00071061" w:rsidRDefault="00F71170" w:rsidP="00F71170">
      <w:pPr>
        <w:jc w:val="center"/>
        <w:rPr>
          <w:rFonts w:asciiTheme="minorHAnsi" w:hAnsiTheme="minorHAnsi"/>
          <w:sz w:val="22"/>
          <w:szCs w:val="22"/>
          <w:lang w:val="nl-NL" w:eastAsia="nl-NL"/>
        </w:rPr>
      </w:pPr>
      <w:r w:rsidRPr="00071061">
        <w:rPr>
          <w:rFonts w:asciiTheme="minorHAnsi" w:hAnsiTheme="minorHAnsi"/>
          <w:sz w:val="22"/>
          <w:szCs w:val="22"/>
          <w:lang w:val="nl-NL" w:eastAsia="nl-NL"/>
        </w:rPr>
        <w:t>AAN DE GEWONE ALGEMENE VERGADERING VAN AANDEELHOUDERS</w:t>
      </w:r>
    </w:p>
    <w:p w14:paraId="0F8E74A7" w14:textId="2F6E5422" w:rsidR="00F71170" w:rsidRPr="00071061" w:rsidRDefault="00F71170" w:rsidP="00F71170">
      <w:pPr>
        <w:jc w:val="center"/>
        <w:rPr>
          <w:rFonts w:asciiTheme="minorHAnsi" w:hAnsiTheme="minorHAnsi"/>
          <w:sz w:val="22"/>
          <w:szCs w:val="22"/>
          <w:lang w:val="nl-NL" w:eastAsia="nl-NL"/>
        </w:rPr>
      </w:pPr>
      <w:r w:rsidRPr="00071061">
        <w:rPr>
          <w:rFonts w:asciiTheme="minorHAnsi" w:hAnsiTheme="minorHAnsi"/>
          <w:sz w:val="22"/>
          <w:szCs w:val="22"/>
          <w:lang w:val="nl-NL" w:eastAsia="nl-NL"/>
        </w:rPr>
        <w:t xml:space="preserve">TE HOUDEN </w:t>
      </w:r>
      <w:r w:rsidRPr="00F60354">
        <w:rPr>
          <w:rFonts w:asciiTheme="minorHAnsi" w:hAnsiTheme="minorHAnsi"/>
          <w:sz w:val="22"/>
          <w:szCs w:val="22"/>
          <w:lang w:val="nl-NL" w:eastAsia="nl-NL"/>
        </w:rPr>
        <w:t xml:space="preserve">OP </w:t>
      </w:r>
      <w:r w:rsidR="004F15CF" w:rsidRPr="00307057">
        <w:rPr>
          <w:rFonts w:asciiTheme="minorHAnsi" w:hAnsiTheme="minorHAnsi"/>
          <w:caps/>
          <w:sz w:val="22"/>
          <w:szCs w:val="22"/>
          <w:lang w:val="nl-NL" w:eastAsia="nl-NL"/>
        </w:rPr>
        <w:t xml:space="preserve">13 </w:t>
      </w:r>
      <w:r w:rsidRPr="00307057">
        <w:rPr>
          <w:rFonts w:asciiTheme="minorHAnsi" w:hAnsiTheme="minorHAnsi"/>
          <w:caps/>
          <w:sz w:val="22"/>
          <w:szCs w:val="22"/>
          <w:lang w:val="nl-NL" w:eastAsia="nl-NL"/>
        </w:rPr>
        <w:t>mei 202</w:t>
      </w:r>
      <w:r w:rsidR="008C6BA4" w:rsidRPr="00307057">
        <w:rPr>
          <w:rFonts w:asciiTheme="minorHAnsi" w:hAnsiTheme="minorHAnsi"/>
          <w:caps/>
          <w:sz w:val="22"/>
          <w:szCs w:val="22"/>
          <w:lang w:val="nl-NL" w:eastAsia="nl-NL"/>
        </w:rPr>
        <w:t>4</w:t>
      </w:r>
      <w:r w:rsidRPr="00F60354">
        <w:rPr>
          <w:rFonts w:asciiTheme="minorHAnsi" w:hAnsiTheme="minorHAnsi"/>
          <w:caps/>
          <w:sz w:val="22"/>
          <w:szCs w:val="22"/>
          <w:lang w:val="nl-NL" w:eastAsia="nl-NL"/>
        </w:rPr>
        <w:t xml:space="preserve"> om</w:t>
      </w:r>
      <w:r w:rsidRPr="00071061">
        <w:rPr>
          <w:rFonts w:asciiTheme="minorHAnsi" w:hAnsiTheme="minorHAnsi"/>
          <w:caps/>
          <w:sz w:val="22"/>
          <w:szCs w:val="22"/>
          <w:lang w:val="nl-NL" w:eastAsia="nl-NL"/>
        </w:rPr>
        <w:t xml:space="preserve"> 1</w:t>
      </w:r>
      <w:r w:rsidR="003C6B18">
        <w:rPr>
          <w:rFonts w:asciiTheme="minorHAnsi" w:hAnsiTheme="minorHAnsi"/>
          <w:caps/>
          <w:sz w:val="22"/>
          <w:szCs w:val="22"/>
          <w:lang w:val="nl-NL" w:eastAsia="nl-NL"/>
        </w:rPr>
        <w:t>6</w:t>
      </w:r>
      <w:r w:rsidRPr="00071061">
        <w:rPr>
          <w:rFonts w:asciiTheme="minorHAnsi" w:hAnsiTheme="minorHAnsi"/>
          <w:caps/>
          <w:sz w:val="22"/>
          <w:szCs w:val="22"/>
          <w:lang w:val="nl-NL" w:eastAsia="nl-NL"/>
        </w:rPr>
        <w:t xml:space="preserve"> uur</w:t>
      </w:r>
    </w:p>
    <w:p w14:paraId="671DE389" w14:textId="77777777" w:rsidR="00F71170" w:rsidRPr="00071061" w:rsidRDefault="00F71170" w:rsidP="00F71170">
      <w:pPr>
        <w:pBdr>
          <w:top w:val="single" w:sz="4" w:space="1" w:color="auto"/>
        </w:pBdr>
        <w:jc w:val="center"/>
        <w:rPr>
          <w:rFonts w:asciiTheme="minorHAnsi" w:hAnsiTheme="minorHAnsi"/>
          <w:sz w:val="22"/>
          <w:szCs w:val="22"/>
          <w:lang w:val="nl-NL" w:eastAsia="nl-NL"/>
        </w:rPr>
      </w:pPr>
    </w:p>
    <w:p w14:paraId="00AEF9CE" w14:textId="77777777" w:rsidR="00F71170" w:rsidRPr="004E68CD" w:rsidRDefault="00F71170" w:rsidP="00F71170">
      <w:pPr>
        <w:jc w:val="both"/>
        <w:rPr>
          <w:rFonts w:asciiTheme="minorHAnsi" w:hAnsiTheme="minorHAnsi"/>
          <w:sz w:val="22"/>
          <w:szCs w:val="22"/>
          <w:lang w:val="nl-BE"/>
        </w:rPr>
      </w:pPr>
      <w:r w:rsidRPr="00071061">
        <w:rPr>
          <w:rFonts w:asciiTheme="minorHAnsi" w:hAnsiTheme="minorHAnsi"/>
          <w:sz w:val="22"/>
          <w:szCs w:val="22"/>
          <w:lang w:val="nl-BE"/>
        </w:rPr>
        <w:t>Geachte</w:t>
      </w:r>
      <w:r>
        <w:rPr>
          <w:rFonts w:asciiTheme="minorHAnsi" w:hAnsiTheme="minorHAnsi"/>
          <w:sz w:val="22"/>
          <w:szCs w:val="22"/>
          <w:lang w:val="nl-BE"/>
        </w:rPr>
        <w:t xml:space="preserve">, </w:t>
      </w:r>
      <w:r w:rsidRPr="00071061">
        <w:rPr>
          <w:rFonts w:asciiTheme="minorHAnsi" w:hAnsiTheme="minorHAnsi"/>
          <w:sz w:val="22"/>
          <w:szCs w:val="22"/>
          <w:lang w:val="nl-BE"/>
        </w:rPr>
        <w:t xml:space="preserve"> </w:t>
      </w:r>
    </w:p>
    <w:p w14:paraId="53B2110D" w14:textId="77777777" w:rsidR="00F71170" w:rsidRPr="004E68CD" w:rsidRDefault="00F71170" w:rsidP="00F71170">
      <w:pPr>
        <w:jc w:val="both"/>
        <w:rPr>
          <w:rFonts w:asciiTheme="minorHAnsi" w:hAnsiTheme="minorHAnsi"/>
          <w:sz w:val="22"/>
          <w:szCs w:val="22"/>
          <w:lang w:val="nl-BE"/>
        </w:rPr>
      </w:pPr>
    </w:p>
    <w:p w14:paraId="714508EC" w14:textId="691ECAA6" w:rsidR="00F71170" w:rsidRPr="00071061" w:rsidRDefault="00F71170" w:rsidP="00F71170">
      <w:pPr>
        <w:jc w:val="both"/>
        <w:rPr>
          <w:rFonts w:asciiTheme="minorHAnsi" w:hAnsiTheme="minorHAnsi"/>
          <w:sz w:val="22"/>
          <w:szCs w:val="22"/>
          <w:lang w:val="nl-BE"/>
        </w:rPr>
      </w:pPr>
      <w:r w:rsidRPr="00071061">
        <w:rPr>
          <w:rFonts w:asciiTheme="minorHAnsi" w:hAnsiTheme="minorHAnsi"/>
          <w:sz w:val="22"/>
          <w:szCs w:val="22"/>
          <w:lang w:val="nl-BE"/>
        </w:rPr>
        <w:t xml:space="preserve">Overeenkomstig onze wettelijke en statutaire verplichtingen brengen wij </w:t>
      </w:r>
      <w:r>
        <w:rPr>
          <w:rFonts w:asciiTheme="minorHAnsi" w:hAnsiTheme="minorHAnsi"/>
          <w:sz w:val="22"/>
          <w:szCs w:val="22"/>
          <w:lang w:val="nl-BE"/>
        </w:rPr>
        <w:t>u</w:t>
      </w:r>
      <w:r w:rsidRPr="00071061">
        <w:rPr>
          <w:rFonts w:asciiTheme="minorHAnsi" w:hAnsiTheme="minorHAnsi"/>
          <w:sz w:val="22"/>
          <w:szCs w:val="22"/>
          <w:lang w:val="nl-BE"/>
        </w:rPr>
        <w:t xml:space="preserve"> hiermee verslag uit over de uitoefening van ons mandaat over het</w:t>
      </w:r>
      <w:r>
        <w:rPr>
          <w:rFonts w:asciiTheme="minorHAnsi" w:hAnsiTheme="minorHAnsi"/>
          <w:sz w:val="22"/>
          <w:szCs w:val="22"/>
          <w:lang w:val="nl-BE"/>
        </w:rPr>
        <w:t xml:space="preserve"> </w:t>
      </w:r>
      <w:r w:rsidRPr="00071061">
        <w:rPr>
          <w:rFonts w:asciiTheme="minorHAnsi" w:hAnsiTheme="minorHAnsi"/>
          <w:sz w:val="22"/>
          <w:szCs w:val="22"/>
          <w:lang w:val="nl-BE"/>
        </w:rPr>
        <w:t xml:space="preserve">boekjaar </w:t>
      </w:r>
      <w:r w:rsidR="002C5CF1">
        <w:rPr>
          <w:rFonts w:asciiTheme="minorHAnsi" w:hAnsiTheme="minorHAnsi"/>
          <w:sz w:val="22"/>
          <w:szCs w:val="22"/>
          <w:lang w:val="nl-BE"/>
        </w:rPr>
        <w:t>202</w:t>
      </w:r>
      <w:r w:rsidR="008C6BA4">
        <w:rPr>
          <w:rFonts w:asciiTheme="minorHAnsi" w:hAnsiTheme="minorHAnsi"/>
          <w:sz w:val="22"/>
          <w:szCs w:val="22"/>
          <w:lang w:val="nl-BE"/>
        </w:rPr>
        <w:t>3</w:t>
      </w:r>
      <w:r w:rsidR="002C5CF1" w:rsidRPr="00071061">
        <w:rPr>
          <w:rFonts w:asciiTheme="minorHAnsi" w:hAnsiTheme="minorHAnsi"/>
          <w:sz w:val="22"/>
          <w:szCs w:val="22"/>
          <w:lang w:val="nl-BE"/>
        </w:rPr>
        <w:t xml:space="preserve"> </w:t>
      </w:r>
      <w:r w:rsidRPr="00071061">
        <w:rPr>
          <w:rFonts w:asciiTheme="minorHAnsi" w:hAnsiTheme="minorHAnsi"/>
          <w:sz w:val="22"/>
          <w:szCs w:val="22"/>
          <w:lang w:val="nl-BE"/>
        </w:rPr>
        <w:t>(</w:t>
      </w:r>
      <w:r>
        <w:rPr>
          <w:rFonts w:asciiTheme="minorHAnsi" w:hAnsiTheme="minorHAnsi"/>
          <w:sz w:val="22"/>
          <w:szCs w:val="22"/>
          <w:lang w:val="nl-BE"/>
        </w:rPr>
        <w:t>1</w:t>
      </w:r>
      <w:r w:rsidRPr="00071061">
        <w:rPr>
          <w:rFonts w:asciiTheme="minorHAnsi" w:hAnsiTheme="minorHAnsi"/>
          <w:sz w:val="22"/>
          <w:szCs w:val="22"/>
          <w:lang w:val="nl-BE"/>
        </w:rPr>
        <w:t xml:space="preserve"> </w:t>
      </w:r>
      <w:r>
        <w:rPr>
          <w:rFonts w:asciiTheme="minorHAnsi" w:hAnsiTheme="minorHAnsi"/>
          <w:sz w:val="22"/>
          <w:szCs w:val="22"/>
          <w:lang w:val="nl-BE"/>
        </w:rPr>
        <w:t>januari</w:t>
      </w:r>
      <w:r w:rsidRPr="00071061">
        <w:rPr>
          <w:rFonts w:asciiTheme="minorHAnsi" w:hAnsiTheme="minorHAnsi"/>
          <w:sz w:val="22"/>
          <w:szCs w:val="22"/>
          <w:lang w:val="nl-BE"/>
        </w:rPr>
        <w:t xml:space="preserve"> </w:t>
      </w:r>
      <w:r w:rsidR="002C5CF1">
        <w:rPr>
          <w:rFonts w:asciiTheme="minorHAnsi" w:hAnsiTheme="minorHAnsi"/>
          <w:sz w:val="22"/>
          <w:szCs w:val="22"/>
          <w:lang w:val="nl-BE"/>
        </w:rPr>
        <w:t>202</w:t>
      </w:r>
      <w:r w:rsidR="00E35B17">
        <w:rPr>
          <w:rFonts w:asciiTheme="minorHAnsi" w:hAnsiTheme="minorHAnsi"/>
          <w:sz w:val="22"/>
          <w:szCs w:val="22"/>
          <w:lang w:val="nl-BE"/>
        </w:rPr>
        <w:t>3</w:t>
      </w:r>
      <w:r w:rsidR="002C5CF1" w:rsidRPr="00071061">
        <w:rPr>
          <w:rFonts w:asciiTheme="minorHAnsi" w:hAnsiTheme="minorHAnsi"/>
          <w:sz w:val="22"/>
          <w:szCs w:val="22"/>
          <w:lang w:val="nl-BE"/>
        </w:rPr>
        <w:t xml:space="preserve"> </w:t>
      </w:r>
      <w:r w:rsidRPr="00071061">
        <w:rPr>
          <w:rFonts w:asciiTheme="minorHAnsi" w:hAnsiTheme="minorHAnsi"/>
          <w:sz w:val="22"/>
          <w:szCs w:val="22"/>
          <w:lang w:val="nl-BE"/>
        </w:rPr>
        <w:t xml:space="preserve">tot 31 december </w:t>
      </w:r>
      <w:r w:rsidR="002C5CF1">
        <w:rPr>
          <w:rFonts w:asciiTheme="minorHAnsi" w:hAnsiTheme="minorHAnsi"/>
          <w:sz w:val="22"/>
          <w:szCs w:val="22"/>
          <w:lang w:val="nl-BE"/>
        </w:rPr>
        <w:t>202</w:t>
      </w:r>
      <w:r w:rsidR="00E35B17">
        <w:rPr>
          <w:rFonts w:asciiTheme="minorHAnsi" w:hAnsiTheme="minorHAnsi"/>
          <w:sz w:val="22"/>
          <w:szCs w:val="22"/>
          <w:lang w:val="nl-BE"/>
        </w:rPr>
        <w:t>3</w:t>
      </w:r>
      <w:r w:rsidRPr="00071061">
        <w:rPr>
          <w:rFonts w:asciiTheme="minorHAnsi" w:hAnsiTheme="minorHAnsi"/>
          <w:sz w:val="22"/>
          <w:szCs w:val="22"/>
          <w:lang w:val="nl-BE"/>
        </w:rPr>
        <w:t>).</w:t>
      </w:r>
    </w:p>
    <w:p w14:paraId="00742BF1" w14:textId="77777777" w:rsidR="00F71170" w:rsidRPr="00071061" w:rsidRDefault="00F71170" w:rsidP="00F71170">
      <w:pPr>
        <w:jc w:val="both"/>
        <w:rPr>
          <w:rFonts w:asciiTheme="minorHAnsi" w:hAnsiTheme="minorHAnsi"/>
          <w:sz w:val="22"/>
          <w:szCs w:val="22"/>
          <w:lang w:val="nl-BE"/>
        </w:rPr>
      </w:pPr>
    </w:p>
    <w:p w14:paraId="03C666BD" w14:textId="0FADFB35" w:rsidR="00F71170" w:rsidRDefault="00F71170" w:rsidP="00F71170">
      <w:pPr>
        <w:pStyle w:val="ListParagraph"/>
        <w:numPr>
          <w:ilvl w:val="0"/>
          <w:numId w:val="1"/>
        </w:numPr>
        <w:tabs>
          <w:tab w:val="left" w:pos="7695"/>
        </w:tabs>
        <w:ind w:left="284"/>
        <w:jc w:val="both"/>
        <w:rPr>
          <w:rFonts w:asciiTheme="minorHAnsi" w:hAnsiTheme="minorHAnsi"/>
          <w:sz w:val="22"/>
          <w:szCs w:val="22"/>
          <w:lang w:val="nl-BE"/>
        </w:rPr>
      </w:pPr>
      <w:r w:rsidRPr="00071061">
        <w:rPr>
          <w:rFonts w:asciiTheme="minorHAnsi" w:hAnsiTheme="minorHAnsi"/>
          <w:sz w:val="22"/>
          <w:szCs w:val="22"/>
          <w:lang w:val="nl-BE"/>
        </w:rPr>
        <w:t xml:space="preserve">Wij hebben de eer de jaarrekening betreffende het boekjaar </w:t>
      </w:r>
      <w:r w:rsidR="002C5CF1">
        <w:rPr>
          <w:rFonts w:asciiTheme="minorHAnsi" w:hAnsiTheme="minorHAnsi"/>
          <w:sz w:val="22"/>
          <w:szCs w:val="22"/>
          <w:lang w:val="nl-BE"/>
        </w:rPr>
        <w:t>202</w:t>
      </w:r>
      <w:r w:rsidR="00E35B17">
        <w:rPr>
          <w:rFonts w:asciiTheme="minorHAnsi" w:hAnsiTheme="minorHAnsi"/>
          <w:sz w:val="22"/>
          <w:szCs w:val="22"/>
          <w:lang w:val="nl-BE"/>
        </w:rPr>
        <w:t>3</w:t>
      </w:r>
      <w:r w:rsidR="002C5CF1" w:rsidRPr="00071061">
        <w:rPr>
          <w:rFonts w:asciiTheme="minorHAnsi" w:hAnsiTheme="minorHAnsi"/>
          <w:sz w:val="22"/>
          <w:szCs w:val="22"/>
          <w:lang w:val="nl-BE"/>
        </w:rPr>
        <w:t xml:space="preserve"> </w:t>
      </w:r>
      <w:r w:rsidRPr="00071061">
        <w:rPr>
          <w:rFonts w:asciiTheme="minorHAnsi" w:hAnsiTheme="minorHAnsi"/>
          <w:sz w:val="22"/>
          <w:szCs w:val="22"/>
          <w:lang w:val="nl-BE"/>
        </w:rPr>
        <w:t>aan uw goedkeuring voor te leggen.</w:t>
      </w:r>
    </w:p>
    <w:p w14:paraId="6D601E40" w14:textId="77777777" w:rsidR="00F71170" w:rsidRDefault="00F71170" w:rsidP="00F71170">
      <w:pPr>
        <w:pStyle w:val="ListParagraph"/>
        <w:tabs>
          <w:tab w:val="left" w:pos="7695"/>
        </w:tabs>
        <w:ind w:left="284"/>
        <w:jc w:val="both"/>
        <w:rPr>
          <w:rFonts w:asciiTheme="minorHAnsi" w:hAnsiTheme="minorHAnsi"/>
          <w:sz w:val="22"/>
          <w:szCs w:val="22"/>
          <w:lang w:val="nl-BE"/>
        </w:rPr>
      </w:pPr>
    </w:p>
    <w:p w14:paraId="1B756E6D" w14:textId="2F2691FA" w:rsidR="00F71170" w:rsidRPr="00EF0DC1" w:rsidRDefault="00F71170" w:rsidP="00F71170">
      <w:pPr>
        <w:pStyle w:val="ListParagraph"/>
        <w:ind w:left="284"/>
        <w:jc w:val="both"/>
        <w:rPr>
          <w:rFonts w:ascii="Calibri" w:hAnsi="Calibri"/>
          <w:sz w:val="22"/>
          <w:szCs w:val="22"/>
          <w:lang w:val="nl-BE" w:eastAsia="nl-BE"/>
        </w:rPr>
      </w:pPr>
      <w:r w:rsidRPr="00EF0DC1">
        <w:rPr>
          <w:rFonts w:ascii="Calibri" w:hAnsi="Calibri"/>
          <w:sz w:val="22"/>
          <w:szCs w:val="22"/>
          <w:lang w:val="nl-BE"/>
        </w:rPr>
        <w:t>Op 1 december 2019 trad de leningsovereenkomst met Parkwind NV in werking waarbij het opgehaalde bedrag van 15 miljoen euro aan Parkwind NV werd geleend voor een principiële duurtijd van 7 jaar aan een gemiddelde jaarlijkse interestvoet van 6%. Deze interestvoet kan mogelijks met 0,5% verhoogd of verlaagd worden naargelang de hoeveelheid wind die er gemeten is in de windparken Belwind, Northwind, Nobelwind en</w:t>
      </w:r>
      <w:r w:rsidR="00560946">
        <w:rPr>
          <w:rFonts w:ascii="Calibri" w:hAnsi="Calibri"/>
          <w:sz w:val="22"/>
          <w:szCs w:val="22"/>
          <w:lang w:val="nl-BE"/>
        </w:rPr>
        <w:t xml:space="preserve"> sinds 2021 ook</w:t>
      </w:r>
      <w:r w:rsidRPr="00EF0DC1">
        <w:rPr>
          <w:rFonts w:ascii="Calibri" w:hAnsi="Calibri"/>
          <w:sz w:val="22"/>
          <w:szCs w:val="22"/>
          <w:lang w:val="nl-BE"/>
        </w:rPr>
        <w:t xml:space="preserve"> Northwester 2. In de periode </w:t>
      </w:r>
      <w:r>
        <w:rPr>
          <w:rFonts w:ascii="Calibri" w:hAnsi="Calibri"/>
          <w:sz w:val="22"/>
          <w:szCs w:val="22"/>
          <w:lang w:val="nl-BE"/>
        </w:rPr>
        <w:t>van</w:t>
      </w:r>
      <w:r w:rsidRPr="00EF0DC1">
        <w:rPr>
          <w:rFonts w:ascii="Calibri" w:hAnsi="Calibri"/>
          <w:sz w:val="22"/>
          <w:szCs w:val="22"/>
          <w:lang w:val="nl-BE"/>
        </w:rPr>
        <w:t xml:space="preserve"> 1 januari </w:t>
      </w:r>
      <w:r>
        <w:rPr>
          <w:rFonts w:ascii="Calibri" w:hAnsi="Calibri"/>
          <w:sz w:val="22"/>
          <w:szCs w:val="22"/>
          <w:lang w:val="nl-BE"/>
        </w:rPr>
        <w:t xml:space="preserve">tot </w:t>
      </w:r>
      <w:r w:rsidRPr="00EF0DC1">
        <w:rPr>
          <w:rFonts w:ascii="Calibri" w:hAnsi="Calibri"/>
          <w:sz w:val="22"/>
          <w:szCs w:val="22"/>
          <w:lang w:val="nl-BE"/>
        </w:rPr>
        <w:t xml:space="preserve">en </w:t>
      </w:r>
      <w:r>
        <w:rPr>
          <w:rFonts w:ascii="Calibri" w:hAnsi="Calibri"/>
          <w:sz w:val="22"/>
          <w:szCs w:val="22"/>
          <w:lang w:val="nl-BE"/>
        </w:rPr>
        <w:t xml:space="preserve">met </w:t>
      </w:r>
      <w:r w:rsidRPr="00EF0DC1">
        <w:rPr>
          <w:rFonts w:ascii="Calibri" w:hAnsi="Calibri"/>
          <w:sz w:val="22"/>
          <w:szCs w:val="22"/>
          <w:lang w:val="nl-BE"/>
        </w:rPr>
        <w:t xml:space="preserve">31 </w:t>
      </w:r>
      <w:r w:rsidRPr="00A47190">
        <w:rPr>
          <w:rFonts w:ascii="Calibri" w:hAnsi="Calibri"/>
          <w:sz w:val="22"/>
          <w:szCs w:val="22"/>
          <w:lang w:val="nl-BE"/>
        </w:rPr>
        <w:t>december 202</w:t>
      </w:r>
      <w:r w:rsidR="00E35B17" w:rsidRPr="00A47190">
        <w:rPr>
          <w:rFonts w:ascii="Calibri" w:hAnsi="Calibri"/>
          <w:sz w:val="22"/>
          <w:szCs w:val="22"/>
          <w:lang w:val="nl-BE"/>
        </w:rPr>
        <w:t xml:space="preserve">3 </w:t>
      </w:r>
      <w:r w:rsidRPr="00A47190">
        <w:rPr>
          <w:rFonts w:ascii="Calibri" w:hAnsi="Calibri"/>
          <w:sz w:val="22"/>
          <w:szCs w:val="22"/>
          <w:lang w:val="nl-BE"/>
        </w:rPr>
        <w:t xml:space="preserve">is </w:t>
      </w:r>
      <w:r w:rsidR="003E2C3F" w:rsidRPr="00A47190">
        <w:rPr>
          <w:rFonts w:ascii="Calibri" w:hAnsi="Calibri"/>
          <w:sz w:val="22"/>
          <w:szCs w:val="22"/>
          <w:lang w:val="nl-BE"/>
        </w:rPr>
        <w:t>2.</w:t>
      </w:r>
      <w:r w:rsidR="001117EB" w:rsidRPr="00A47190">
        <w:rPr>
          <w:rFonts w:ascii="Calibri" w:hAnsi="Calibri"/>
          <w:sz w:val="22"/>
          <w:szCs w:val="22"/>
          <w:lang w:val="nl-BE"/>
        </w:rPr>
        <w:t>55</w:t>
      </w:r>
      <w:r w:rsidR="008F4CA9" w:rsidRPr="00A47190">
        <w:rPr>
          <w:rFonts w:ascii="Calibri" w:hAnsi="Calibri"/>
          <w:sz w:val="22"/>
          <w:szCs w:val="22"/>
          <w:lang w:val="nl-BE"/>
        </w:rPr>
        <w:t>9</w:t>
      </w:r>
      <w:r w:rsidR="001117EB" w:rsidRPr="00A47190">
        <w:rPr>
          <w:rFonts w:ascii="Calibri" w:hAnsi="Calibri"/>
          <w:sz w:val="22"/>
          <w:szCs w:val="22"/>
          <w:lang w:val="nl-BE"/>
        </w:rPr>
        <w:t>.</w:t>
      </w:r>
      <w:r w:rsidR="00297908" w:rsidRPr="00A47190">
        <w:rPr>
          <w:rFonts w:ascii="Calibri" w:hAnsi="Calibri"/>
          <w:sz w:val="22"/>
          <w:szCs w:val="22"/>
          <w:lang w:val="nl-BE"/>
        </w:rPr>
        <w:t>826</w:t>
      </w:r>
      <w:r w:rsidRPr="00A47190">
        <w:rPr>
          <w:rFonts w:ascii="Calibri" w:hAnsi="Calibri"/>
          <w:sz w:val="22"/>
          <w:szCs w:val="22"/>
          <w:lang w:val="nl-BE"/>
        </w:rPr>
        <w:t xml:space="preserve"> MWh geproduceerd, waardoor een interestvoet </w:t>
      </w:r>
      <w:r w:rsidR="00C83C9D" w:rsidRPr="00A47190">
        <w:rPr>
          <w:rFonts w:ascii="Calibri" w:hAnsi="Calibri"/>
          <w:sz w:val="22"/>
          <w:szCs w:val="22"/>
          <w:lang w:val="nl-BE"/>
        </w:rPr>
        <w:t>6</w:t>
      </w:r>
      <w:r w:rsidR="000818E4" w:rsidRPr="00A47190">
        <w:rPr>
          <w:rFonts w:ascii="Calibri" w:hAnsi="Calibri"/>
          <w:sz w:val="22"/>
          <w:szCs w:val="22"/>
          <w:lang w:val="nl-BE"/>
        </w:rPr>
        <w:t>,</w:t>
      </w:r>
      <w:r w:rsidRPr="00A47190">
        <w:rPr>
          <w:rFonts w:ascii="Calibri" w:hAnsi="Calibri"/>
          <w:sz w:val="22"/>
          <w:szCs w:val="22"/>
          <w:lang w:val="nl-BE"/>
        </w:rPr>
        <w:t>5% van toepassing is. De opbrengsten uit de lening voor deze periode bedragen bijgevolg</w:t>
      </w:r>
      <w:r w:rsidR="00E52313" w:rsidRPr="00A47190">
        <w:rPr>
          <w:rFonts w:ascii="Calibri" w:hAnsi="Calibri"/>
          <w:sz w:val="22"/>
          <w:szCs w:val="22"/>
          <w:lang w:val="nl-BE"/>
        </w:rPr>
        <w:t xml:space="preserve"> </w:t>
      </w:r>
      <w:r w:rsidR="00874651" w:rsidRPr="00A47190">
        <w:rPr>
          <w:rFonts w:ascii="Calibri" w:hAnsi="Calibri"/>
          <w:sz w:val="22"/>
          <w:szCs w:val="22"/>
          <w:lang w:val="nl-BE"/>
        </w:rPr>
        <w:t>983.</w:t>
      </w:r>
      <w:r w:rsidR="009A486B" w:rsidRPr="00A47190">
        <w:rPr>
          <w:rFonts w:ascii="Calibri" w:hAnsi="Calibri"/>
          <w:sz w:val="22"/>
          <w:szCs w:val="22"/>
          <w:lang w:val="nl-BE"/>
        </w:rPr>
        <w:t>125,00</w:t>
      </w:r>
      <w:r w:rsidRPr="00A47190">
        <w:rPr>
          <w:rFonts w:ascii="Calibri" w:hAnsi="Calibri"/>
          <w:sz w:val="22"/>
          <w:szCs w:val="22"/>
          <w:lang w:val="nl-BE"/>
        </w:rPr>
        <w:t xml:space="preserve"> euro.</w:t>
      </w:r>
      <w:r w:rsidRPr="00EF0DC1">
        <w:rPr>
          <w:rFonts w:ascii="Calibri" w:hAnsi="Calibri"/>
          <w:sz w:val="22"/>
          <w:szCs w:val="22"/>
          <w:lang w:val="nl-BE"/>
        </w:rPr>
        <w:t xml:space="preserve"> </w:t>
      </w:r>
    </w:p>
    <w:p w14:paraId="031A18DA" w14:textId="7341CB32" w:rsidR="00F71170" w:rsidRPr="004E68CD" w:rsidRDefault="00F71170" w:rsidP="00F71170">
      <w:pPr>
        <w:jc w:val="both"/>
        <w:rPr>
          <w:rFonts w:asciiTheme="minorHAnsi" w:hAnsiTheme="minorHAnsi"/>
          <w:sz w:val="22"/>
          <w:szCs w:val="22"/>
          <w:lang w:val="nl-BE"/>
        </w:rPr>
      </w:pPr>
    </w:p>
    <w:p w14:paraId="63B03658" w14:textId="7A341E75" w:rsidR="003B415D" w:rsidRDefault="00F71170" w:rsidP="00F71170">
      <w:pPr>
        <w:pStyle w:val="ListParagraph"/>
        <w:tabs>
          <w:tab w:val="left" w:pos="7695"/>
        </w:tabs>
        <w:ind w:left="284"/>
        <w:jc w:val="both"/>
        <w:rPr>
          <w:rFonts w:asciiTheme="minorHAnsi" w:hAnsiTheme="minorHAnsi"/>
          <w:sz w:val="22"/>
          <w:szCs w:val="22"/>
          <w:lang w:val="nl-BE"/>
        </w:rPr>
      </w:pPr>
      <w:r>
        <w:rPr>
          <w:rFonts w:asciiTheme="minorHAnsi" w:hAnsiTheme="minorHAnsi"/>
          <w:sz w:val="22"/>
          <w:szCs w:val="22"/>
          <w:lang w:val="nl-BE"/>
        </w:rPr>
        <w:t xml:space="preserve">De werkingskosten voor het afgesloten boekjaar </w:t>
      </w:r>
      <w:r w:rsidRPr="007B11F4">
        <w:rPr>
          <w:rFonts w:asciiTheme="minorHAnsi" w:hAnsiTheme="minorHAnsi"/>
          <w:sz w:val="22"/>
          <w:szCs w:val="22"/>
          <w:lang w:val="nl-BE"/>
        </w:rPr>
        <w:t xml:space="preserve">bedragen </w:t>
      </w:r>
      <w:r w:rsidR="00397020" w:rsidRPr="007B11F4">
        <w:rPr>
          <w:rFonts w:asciiTheme="minorHAnsi" w:hAnsiTheme="minorHAnsi"/>
          <w:sz w:val="22"/>
          <w:szCs w:val="22"/>
          <w:lang w:val="nl-BE"/>
        </w:rPr>
        <w:t>205.649,74</w:t>
      </w:r>
      <w:r w:rsidR="00D432C1">
        <w:rPr>
          <w:rFonts w:asciiTheme="minorHAnsi" w:hAnsiTheme="minorHAnsi"/>
          <w:sz w:val="22"/>
          <w:szCs w:val="22"/>
          <w:lang w:val="nl-BE"/>
        </w:rPr>
        <w:t xml:space="preserve"> </w:t>
      </w:r>
      <w:r w:rsidRPr="004E68CD">
        <w:rPr>
          <w:rFonts w:asciiTheme="minorHAnsi" w:hAnsiTheme="minorHAnsi"/>
          <w:sz w:val="22"/>
          <w:szCs w:val="22"/>
          <w:lang w:val="nl-BE"/>
        </w:rPr>
        <w:t xml:space="preserve">euro en </w:t>
      </w:r>
      <w:r>
        <w:rPr>
          <w:rFonts w:asciiTheme="minorHAnsi" w:hAnsiTheme="minorHAnsi"/>
          <w:sz w:val="22"/>
          <w:szCs w:val="22"/>
          <w:lang w:val="nl-BE"/>
        </w:rPr>
        <w:t>hebben voornamelijk betrekking op administratieve kosten, diensten geleverd door Parkwind en Hefboom, alsook de erelonen van de commissaris en de accountant.</w:t>
      </w:r>
    </w:p>
    <w:p w14:paraId="229294F7" w14:textId="77777777" w:rsidR="00397020" w:rsidRDefault="00397020" w:rsidP="00F71170">
      <w:pPr>
        <w:pStyle w:val="ListParagraph"/>
        <w:tabs>
          <w:tab w:val="left" w:pos="7695"/>
        </w:tabs>
        <w:ind w:left="284"/>
        <w:jc w:val="both"/>
        <w:rPr>
          <w:rFonts w:asciiTheme="minorHAnsi" w:hAnsiTheme="minorHAnsi"/>
          <w:sz w:val="22"/>
          <w:szCs w:val="22"/>
          <w:lang w:val="nl-BE"/>
        </w:rPr>
      </w:pPr>
    </w:p>
    <w:p w14:paraId="1B382117" w14:textId="2A087C3A" w:rsidR="00F71170" w:rsidRPr="004E261D" w:rsidRDefault="00F71170" w:rsidP="00307057">
      <w:pPr>
        <w:pStyle w:val="ListParagraph"/>
        <w:tabs>
          <w:tab w:val="left" w:pos="7695"/>
        </w:tabs>
        <w:ind w:left="284"/>
        <w:jc w:val="both"/>
        <w:rPr>
          <w:rFonts w:asciiTheme="minorHAnsi" w:hAnsiTheme="minorHAnsi"/>
          <w:sz w:val="22"/>
          <w:szCs w:val="22"/>
          <w:lang w:val="nl-BE"/>
        </w:rPr>
      </w:pPr>
      <w:r>
        <w:rPr>
          <w:rFonts w:asciiTheme="minorHAnsi" w:hAnsiTheme="minorHAnsi"/>
          <w:sz w:val="22"/>
          <w:szCs w:val="22"/>
          <w:lang w:val="nl-BE"/>
        </w:rPr>
        <w:t xml:space="preserve">De </w:t>
      </w:r>
      <w:r w:rsidRPr="00071061">
        <w:rPr>
          <w:rFonts w:asciiTheme="minorHAnsi" w:hAnsiTheme="minorHAnsi"/>
          <w:sz w:val="22"/>
          <w:szCs w:val="22"/>
          <w:lang w:val="nl-BE"/>
        </w:rPr>
        <w:t>oprichtingskosten w</w:t>
      </w:r>
      <w:r>
        <w:rPr>
          <w:rFonts w:asciiTheme="minorHAnsi" w:hAnsiTheme="minorHAnsi"/>
          <w:sz w:val="22"/>
          <w:szCs w:val="22"/>
          <w:lang w:val="nl-BE"/>
        </w:rPr>
        <w:t>e</w:t>
      </w:r>
      <w:r w:rsidRPr="00071061">
        <w:rPr>
          <w:rFonts w:asciiTheme="minorHAnsi" w:hAnsiTheme="minorHAnsi"/>
          <w:sz w:val="22"/>
          <w:szCs w:val="22"/>
          <w:lang w:val="nl-BE"/>
        </w:rPr>
        <w:t xml:space="preserve">rden </w:t>
      </w:r>
      <w:r>
        <w:rPr>
          <w:rFonts w:asciiTheme="minorHAnsi" w:hAnsiTheme="minorHAnsi"/>
          <w:sz w:val="22"/>
          <w:szCs w:val="22"/>
          <w:lang w:val="nl-BE"/>
        </w:rPr>
        <w:t xml:space="preserve">gedragen door Parkwind. Vanaf boekjaar 2020 worden deze </w:t>
      </w:r>
      <w:r w:rsidRPr="00071061">
        <w:rPr>
          <w:rFonts w:asciiTheme="minorHAnsi" w:hAnsiTheme="minorHAnsi"/>
          <w:sz w:val="22"/>
          <w:szCs w:val="22"/>
          <w:lang w:val="nl-BE"/>
        </w:rPr>
        <w:t>oprichtingskosten</w:t>
      </w:r>
      <w:r>
        <w:rPr>
          <w:rFonts w:asciiTheme="minorHAnsi" w:hAnsiTheme="minorHAnsi"/>
          <w:sz w:val="22"/>
          <w:szCs w:val="22"/>
          <w:lang w:val="nl-BE"/>
        </w:rPr>
        <w:t xml:space="preserve"> </w:t>
      </w:r>
      <w:r w:rsidRPr="00071061">
        <w:rPr>
          <w:rFonts w:asciiTheme="minorHAnsi" w:hAnsiTheme="minorHAnsi"/>
          <w:sz w:val="22"/>
          <w:szCs w:val="22"/>
          <w:lang w:val="nl-BE"/>
        </w:rPr>
        <w:t>vanuit Parkwind gefactureerd</w:t>
      </w:r>
      <w:r>
        <w:rPr>
          <w:rFonts w:asciiTheme="minorHAnsi" w:hAnsiTheme="minorHAnsi"/>
          <w:sz w:val="22"/>
          <w:szCs w:val="22"/>
          <w:lang w:val="nl-BE"/>
        </w:rPr>
        <w:t xml:space="preserve"> aan North Sea Wind, gespreid over een periode van </w:t>
      </w:r>
      <w:r w:rsidRPr="00071061">
        <w:rPr>
          <w:rFonts w:asciiTheme="minorHAnsi" w:hAnsiTheme="minorHAnsi"/>
          <w:sz w:val="22"/>
          <w:szCs w:val="22"/>
          <w:lang w:val="nl-BE"/>
        </w:rPr>
        <w:t>5 jaar</w:t>
      </w:r>
      <w:r>
        <w:rPr>
          <w:rFonts w:asciiTheme="minorHAnsi" w:hAnsiTheme="minorHAnsi"/>
          <w:sz w:val="22"/>
          <w:szCs w:val="22"/>
          <w:lang w:val="nl-BE"/>
        </w:rPr>
        <w:t>,</w:t>
      </w:r>
      <w:r w:rsidRPr="00071061">
        <w:rPr>
          <w:rFonts w:asciiTheme="minorHAnsi" w:hAnsiTheme="minorHAnsi"/>
          <w:sz w:val="22"/>
          <w:szCs w:val="22"/>
          <w:lang w:val="nl-BE"/>
        </w:rPr>
        <w:t xml:space="preserve"> en </w:t>
      </w:r>
      <w:r>
        <w:rPr>
          <w:rFonts w:asciiTheme="minorHAnsi" w:hAnsiTheme="minorHAnsi"/>
          <w:sz w:val="22"/>
          <w:szCs w:val="22"/>
          <w:lang w:val="nl-BE"/>
        </w:rPr>
        <w:t xml:space="preserve">worden deze </w:t>
      </w:r>
      <w:r w:rsidRPr="00071061">
        <w:rPr>
          <w:rFonts w:asciiTheme="minorHAnsi" w:hAnsiTheme="minorHAnsi"/>
          <w:sz w:val="22"/>
          <w:szCs w:val="22"/>
          <w:lang w:val="nl-BE"/>
        </w:rPr>
        <w:t>rechtstreeks in kosten genomen</w:t>
      </w:r>
      <w:r>
        <w:rPr>
          <w:rFonts w:asciiTheme="minorHAnsi" w:hAnsiTheme="minorHAnsi"/>
          <w:sz w:val="22"/>
          <w:szCs w:val="22"/>
          <w:lang w:val="nl-BE"/>
        </w:rPr>
        <w:t xml:space="preserve"> door North Sea Wind</w:t>
      </w:r>
      <w:r w:rsidRPr="00071061">
        <w:rPr>
          <w:rFonts w:asciiTheme="minorHAnsi" w:hAnsiTheme="minorHAnsi"/>
          <w:sz w:val="22"/>
          <w:szCs w:val="22"/>
          <w:lang w:val="nl-BE"/>
        </w:rPr>
        <w:t>.</w:t>
      </w:r>
    </w:p>
    <w:p w14:paraId="535A242E" w14:textId="77777777" w:rsidR="00F71170" w:rsidRPr="00071061" w:rsidRDefault="00F71170" w:rsidP="00307057">
      <w:pPr>
        <w:pStyle w:val="ListParagraph"/>
        <w:tabs>
          <w:tab w:val="left" w:pos="7695"/>
        </w:tabs>
        <w:ind w:left="284"/>
        <w:jc w:val="both"/>
        <w:rPr>
          <w:rFonts w:asciiTheme="minorHAnsi" w:hAnsiTheme="minorHAnsi"/>
          <w:sz w:val="22"/>
          <w:szCs w:val="22"/>
          <w:lang w:val="nl-BE"/>
        </w:rPr>
      </w:pPr>
    </w:p>
    <w:p w14:paraId="442AEBBA" w14:textId="77777777" w:rsidR="00F71170" w:rsidRPr="00E425E7" w:rsidRDefault="00F71170" w:rsidP="00307057">
      <w:pPr>
        <w:pStyle w:val="ListParagraph"/>
        <w:numPr>
          <w:ilvl w:val="0"/>
          <w:numId w:val="1"/>
        </w:numPr>
        <w:tabs>
          <w:tab w:val="left" w:pos="7695"/>
        </w:tabs>
        <w:ind w:left="284"/>
        <w:jc w:val="both"/>
        <w:rPr>
          <w:rFonts w:asciiTheme="minorHAnsi" w:hAnsiTheme="minorHAnsi"/>
          <w:sz w:val="22"/>
          <w:szCs w:val="22"/>
          <w:lang w:val="nl-BE"/>
        </w:rPr>
      </w:pPr>
      <w:r w:rsidRPr="00E425E7">
        <w:rPr>
          <w:rFonts w:asciiTheme="minorHAnsi" w:hAnsiTheme="minorHAnsi"/>
          <w:sz w:val="22"/>
          <w:szCs w:val="22"/>
          <w:lang w:val="nl-BE"/>
        </w:rPr>
        <w:t>Bestemming van het resultaat:</w:t>
      </w:r>
    </w:p>
    <w:p w14:paraId="3DA21171" w14:textId="77777777" w:rsidR="00F71170" w:rsidRPr="00E425E7" w:rsidDel="00D14D1A" w:rsidRDefault="00F71170" w:rsidP="00764177">
      <w:pPr>
        <w:ind w:left="284"/>
        <w:jc w:val="both"/>
        <w:rPr>
          <w:rFonts w:asciiTheme="minorHAnsi" w:hAnsiTheme="minorHAnsi"/>
          <w:sz w:val="22"/>
          <w:szCs w:val="22"/>
          <w:lang w:val="nl-BE"/>
        </w:rPr>
      </w:pPr>
    </w:p>
    <w:tbl>
      <w:tblPr>
        <w:tblStyle w:val="TableGrid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992"/>
        <w:gridCol w:w="1696"/>
      </w:tblGrid>
      <w:tr w:rsidR="00F71170" w:rsidRPr="00D71614" w14:paraId="5AAE3E1A" w14:textId="77777777" w:rsidTr="00F301A6">
        <w:tc>
          <w:tcPr>
            <w:tcW w:w="6374" w:type="dxa"/>
          </w:tcPr>
          <w:p w14:paraId="0D83F1D9" w14:textId="77777777" w:rsidR="00F71170" w:rsidRPr="00A74524" w:rsidRDefault="00F71170" w:rsidP="00764177">
            <w:pPr>
              <w:ind w:left="284"/>
              <w:rPr>
                <w:rFonts w:asciiTheme="minorHAnsi" w:hAnsiTheme="minorHAnsi"/>
                <w:sz w:val="22"/>
                <w:szCs w:val="22"/>
                <w:lang w:val="nl-BE"/>
              </w:rPr>
            </w:pPr>
            <w:r w:rsidRPr="00A74524">
              <w:rPr>
                <w:rFonts w:asciiTheme="minorHAnsi" w:hAnsiTheme="minorHAnsi"/>
                <w:sz w:val="22"/>
                <w:szCs w:val="22"/>
                <w:lang w:val="nl-BE"/>
              </w:rPr>
              <w:t>De winst vóór belasting van het afgesloten boekjaar:</w:t>
            </w:r>
            <w:r w:rsidRPr="00A74524">
              <w:rPr>
                <w:rFonts w:asciiTheme="minorHAnsi" w:hAnsiTheme="minorHAnsi"/>
                <w:sz w:val="22"/>
                <w:szCs w:val="22"/>
                <w:lang w:val="nl-BE"/>
              </w:rPr>
              <w:tab/>
            </w:r>
          </w:p>
        </w:tc>
        <w:tc>
          <w:tcPr>
            <w:tcW w:w="992" w:type="dxa"/>
          </w:tcPr>
          <w:p w14:paraId="19E1C47C" w14:textId="77777777" w:rsidR="00F71170" w:rsidRPr="00A74524" w:rsidRDefault="00F71170" w:rsidP="00764177">
            <w:pPr>
              <w:ind w:left="284"/>
              <w:rPr>
                <w:rFonts w:asciiTheme="minorHAnsi" w:hAnsiTheme="minorHAnsi"/>
                <w:sz w:val="22"/>
                <w:szCs w:val="22"/>
                <w:lang w:val="nl-BE"/>
              </w:rPr>
            </w:pPr>
            <w:r w:rsidRPr="00A74524">
              <w:rPr>
                <w:rFonts w:asciiTheme="minorHAnsi" w:hAnsiTheme="minorHAnsi"/>
                <w:sz w:val="22"/>
                <w:szCs w:val="22"/>
                <w:lang w:val="nl-BE"/>
              </w:rPr>
              <w:t xml:space="preserve">EUR   </w:t>
            </w:r>
          </w:p>
        </w:tc>
        <w:tc>
          <w:tcPr>
            <w:tcW w:w="1696" w:type="dxa"/>
          </w:tcPr>
          <w:p w14:paraId="053B9ACC" w14:textId="6ABA3BE9" w:rsidR="00F71170" w:rsidRPr="00D71614" w:rsidRDefault="00397020" w:rsidP="00764177">
            <w:pPr>
              <w:ind w:left="284"/>
              <w:jc w:val="right"/>
              <w:rPr>
                <w:rFonts w:asciiTheme="minorHAnsi" w:hAnsiTheme="minorHAnsi"/>
                <w:sz w:val="22"/>
                <w:szCs w:val="22"/>
                <w:lang w:val="nl-BE"/>
              </w:rPr>
            </w:pPr>
            <w:r>
              <w:rPr>
                <w:rFonts w:asciiTheme="minorHAnsi" w:hAnsiTheme="minorHAnsi" w:cstheme="minorHAnsi"/>
                <w:sz w:val="22"/>
                <w:szCs w:val="22"/>
              </w:rPr>
              <w:t>775.839,90</w:t>
            </w:r>
          </w:p>
        </w:tc>
      </w:tr>
      <w:tr w:rsidR="00F71170" w:rsidRPr="00D71614" w14:paraId="4F563B43" w14:textId="77777777" w:rsidTr="00F301A6">
        <w:tc>
          <w:tcPr>
            <w:tcW w:w="6374" w:type="dxa"/>
          </w:tcPr>
          <w:p w14:paraId="69915BE9" w14:textId="3C6E162A" w:rsidR="00F71170" w:rsidRPr="00D71614" w:rsidRDefault="00F71170" w:rsidP="00764177">
            <w:pPr>
              <w:ind w:left="284"/>
              <w:rPr>
                <w:rFonts w:asciiTheme="minorHAnsi" w:hAnsiTheme="minorHAnsi"/>
                <w:sz w:val="22"/>
                <w:szCs w:val="22"/>
                <w:lang w:val="nl-BE"/>
              </w:rPr>
            </w:pPr>
            <w:r w:rsidRPr="00D71614">
              <w:rPr>
                <w:rFonts w:asciiTheme="minorHAnsi" w:hAnsiTheme="minorHAnsi"/>
                <w:sz w:val="22"/>
                <w:szCs w:val="22"/>
                <w:lang w:val="nl-BE"/>
              </w:rPr>
              <w:t>Belastingen op het resultaat:</w:t>
            </w:r>
          </w:p>
        </w:tc>
        <w:tc>
          <w:tcPr>
            <w:tcW w:w="992" w:type="dxa"/>
          </w:tcPr>
          <w:p w14:paraId="087FEC24" w14:textId="77777777" w:rsidR="00F71170" w:rsidRPr="00D71614" w:rsidRDefault="00F71170" w:rsidP="00764177">
            <w:pPr>
              <w:ind w:left="284"/>
              <w:rPr>
                <w:rFonts w:asciiTheme="minorHAnsi" w:hAnsiTheme="minorHAnsi"/>
                <w:sz w:val="22"/>
                <w:szCs w:val="22"/>
                <w:lang w:val="nl-BE"/>
              </w:rPr>
            </w:pPr>
            <w:r w:rsidRPr="00D71614">
              <w:rPr>
                <w:rFonts w:asciiTheme="minorHAnsi" w:hAnsiTheme="minorHAnsi"/>
                <w:sz w:val="22"/>
                <w:szCs w:val="22"/>
                <w:lang w:val="nl-BE"/>
              </w:rPr>
              <w:t>EUR</w:t>
            </w:r>
          </w:p>
        </w:tc>
        <w:tc>
          <w:tcPr>
            <w:tcW w:w="1696" w:type="dxa"/>
          </w:tcPr>
          <w:p w14:paraId="2E92C32C" w14:textId="4B799DDC" w:rsidR="00F71170" w:rsidRPr="00D71614" w:rsidRDefault="00397020" w:rsidP="00764177">
            <w:pPr>
              <w:ind w:left="284"/>
              <w:jc w:val="right"/>
              <w:rPr>
                <w:rFonts w:asciiTheme="minorHAnsi" w:hAnsiTheme="minorHAnsi"/>
                <w:sz w:val="22"/>
                <w:szCs w:val="22"/>
                <w:lang w:val="nl-BE"/>
              </w:rPr>
            </w:pPr>
            <w:r>
              <w:rPr>
                <w:rFonts w:asciiTheme="minorHAnsi" w:hAnsiTheme="minorHAnsi"/>
                <w:sz w:val="22"/>
                <w:szCs w:val="22"/>
              </w:rPr>
              <w:t>110.568,36</w:t>
            </w:r>
          </w:p>
        </w:tc>
      </w:tr>
      <w:tr w:rsidR="00F71170" w:rsidRPr="00D71614" w14:paraId="393A622C" w14:textId="77777777" w:rsidTr="00F301A6">
        <w:tc>
          <w:tcPr>
            <w:tcW w:w="6374" w:type="dxa"/>
          </w:tcPr>
          <w:p w14:paraId="3A2C4FBC" w14:textId="23D877FC" w:rsidR="00F71170" w:rsidRPr="00D71614" w:rsidRDefault="00F71170" w:rsidP="00764177">
            <w:pPr>
              <w:ind w:left="284"/>
              <w:rPr>
                <w:rFonts w:asciiTheme="minorHAnsi" w:hAnsiTheme="minorHAnsi"/>
                <w:sz w:val="22"/>
                <w:szCs w:val="22"/>
                <w:lang w:val="nl-BE"/>
              </w:rPr>
            </w:pPr>
            <w:r w:rsidRPr="00D71614">
              <w:rPr>
                <w:rFonts w:asciiTheme="minorHAnsi" w:hAnsiTheme="minorHAnsi"/>
                <w:sz w:val="22"/>
                <w:szCs w:val="22"/>
                <w:lang w:val="nl-BE"/>
              </w:rPr>
              <w:t>Te bestemmen resultaat</w:t>
            </w:r>
            <w:r w:rsidR="0004207E">
              <w:rPr>
                <w:rFonts w:asciiTheme="minorHAnsi" w:hAnsiTheme="minorHAnsi"/>
                <w:sz w:val="22"/>
                <w:szCs w:val="22"/>
                <w:lang w:val="nl-BE"/>
              </w:rPr>
              <w:t xml:space="preserve"> van het boekjaar</w:t>
            </w:r>
            <w:r w:rsidRPr="00D71614">
              <w:rPr>
                <w:rFonts w:asciiTheme="minorHAnsi" w:hAnsiTheme="minorHAnsi"/>
                <w:sz w:val="22"/>
                <w:szCs w:val="22"/>
                <w:lang w:val="nl-BE"/>
              </w:rPr>
              <w:t>:</w:t>
            </w:r>
          </w:p>
        </w:tc>
        <w:tc>
          <w:tcPr>
            <w:tcW w:w="992" w:type="dxa"/>
          </w:tcPr>
          <w:p w14:paraId="50FBA355" w14:textId="77777777" w:rsidR="00F71170" w:rsidRPr="00D71614" w:rsidRDefault="00F71170" w:rsidP="00764177">
            <w:pPr>
              <w:ind w:left="284"/>
              <w:rPr>
                <w:rFonts w:asciiTheme="minorHAnsi" w:hAnsiTheme="minorHAnsi"/>
                <w:sz w:val="22"/>
                <w:szCs w:val="22"/>
                <w:lang w:val="nl-BE"/>
              </w:rPr>
            </w:pPr>
            <w:r w:rsidRPr="00D71614">
              <w:rPr>
                <w:rFonts w:asciiTheme="minorHAnsi" w:hAnsiTheme="minorHAnsi"/>
                <w:sz w:val="22"/>
                <w:szCs w:val="22"/>
                <w:lang w:val="nl-BE"/>
              </w:rPr>
              <w:t>EUR</w:t>
            </w:r>
          </w:p>
        </w:tc>
        <w:tc>
          <w:tcPr>
            <w:tcW w:w="1696" w:type="dxa"/>
          </w:tcPr>
          <w:p w14:paraId="60B5CB05" w14:textId="3C2D028A" w:rsidR="00F71170" w:rsidRPr="00D71614" w:rsidRDefault="00397020" w:rsidP="00764177">
            <w:pPr>
              <w:ind w:left="284"/>
              <w:jc w:val="right"/>
              <w:rPr>
                <w:rFonts w:asciiTheme="minorHAnsi" w:hAnsiTheme="minorHAnsi"/>
                <w:sz w:val="22"/>
                <w:szCs w:val="22"/>
                <w:lang w:val="nl-BE"/>
              </w:rPr>
            </w:pPr>
            <w:r>
              <w:rPr>
                <w:rFonts w:asciiTheme="minorHAnsi" w:hAnsiTheme="minorHAnsi"/>
                <w:sz w:val="22"/>
                <w:szCs w:val="22"/>
              </w:rPr>
              <w:t>665.271,54</w:t>
            </w:r>
          </w:p>
        </w:tc>
      </w:tr>
    </w:tbl>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992"/>
        <w:gridCol w:w="1696"/>
      </w:tblGrid>
      <w:tr w:rsidR="0004207E" w:rsidRPr="00A74524" w14:paraId="2FBC8962" w14:textId="77777777" w:rsidTr="00B96E47">
        <w:tc>
          <w:tcPr>
            <w:tcW w:w="6374" w:type="dxa"/>
          </w:tcPr>
          <w:p w14:paraId="6E4C8079" w14:textId="77777777" w:rsidR="0004207E" w:rsidRPr="00A74524" w:rsidRDefault="0004207E" w:rsidP="00764177">
            <w:pPr>
              <w:ind w:left="284"/>
              <w:rPr>
                <w:rFonts w:asciiTheme="minorHAnsi" w:hAnsiTheme="minorHAnsi"/>
                <w:sz w:val="22"/>
                <w:szCs w:val="22"/>
                <w:lang w:val="nl-BE"/>
              </w:rPr>
            </w:pPr>
            <w:r>
              <w:rPr>
                <w:rFonts w:asciiTheme="minorHAnsi" w:hAnsiTheme="minorHAnsi"/>
                <w:sz w:val="22"/>
                <w:szCs w:val="22"/>
                <w:lang w:val="nl-BE"/>
              </w:rPr>
              <w:t>Overgedragen resultaat van het vorige boekjaar:</w:t>
            </w:r>
          </w:p>
        </w:tc>
        <w:tc>
          <w:tcPr>
            <w:tcW w:w="992" w:type="dxa"/>
          </w:tcPr>
          <w:p w14:paraId="07E989F6" w14:textId="77777777" w:rsidR="0004207E" w:rsidRPr="00A74524" w:rsidRDefault="0004207E" w:rsidP="00764177">
            <w:pPr>
              <w:ind w:left="284"/>
              <w:rPr>
                <w:rFonts w:asciiTheme="minorHAnsi" w:hAnsiTheme="minorHAnsi"/>
                <w:sz w:val="22"/>
                <w:szCs w:val="22"/>
                <w:lang w:val="nl-BE"/>
              </w:rPr>
            </w:pPr>
            <w:r w:rsidRPr="00A74524">
              <w:rPr>
                <w:rFonts w:asciiTheme="minorHAnsi" w:hAnsiTheme="minorHAnsi"/>
                <w:sz w:val="22"/>
                <w:szCs w:val="22"/>
                <w:lang w:val="nl-BE"/>
              </w:rPr>
              <w:t xml:space="preserve">EUR   </w:t>
            </w:r>
          </w:p>
        </w:tc>
        <w:tc>
          <w:tcPr>
            <w:tcW w:w="1696" w:type="dxa"/>
          </w:tcPr>
          <w:p w14:paraId="255E5A57" w14:textId="11545E8D" w:rsidR="0004207E" w:rsidRPr="00A74524" w:rsidRDefault="0004207E" w:rsidP="00764177">
            <w:pPr>
              <w:ind w:left="284"/>
              <w:jc w:val="right"/>
              <w:rPr>
                <w:rFonts w:asciiTheme="minorHAnsi" w:hAnsiTheme="minorHAnsi"/>
                <w:sz w:val="22"/>
                <w:szCs w:val="22"/>
                <w:lang w:val="nl-BE"/>
              </w:rPr>
            </w:pPr>
            <w:r>
              <w:rPr>
                <w:rFonts w:asciiTheme="minorHAnsi" w:hAnsiTheme="minorHAnsi"/>
                <w:sz w:val="22"/>
                <w:szCs w:val="22"/>
              </w:rPr>
              <w:t>2.41</w:t>
            </w:r>
            <w:r w:rsidR="00A4005C">
              <w:rPr>
                <w:rFonts w:asciiTheme="minorHAnsi" w:hAnsiTheme="minorHAnsi"/>
                <w:sz w:val="22"/>
                <w:szCs w:val="22"/>
              </w:rPr>
              <w:t>3</w:t>
            </w:r>
            <w:r>
              <w:rPr>
                <w:rFonts w:asciiTheme="minorHAnsi" w:hAnsiTheme="minorHAnsi"/>
                <w:sz w:val="22"/>
                <w:szCs w:val="22"/>
              </w:rPr>
              <w:t>,32</w:t>
            </w:r>
          </w:p>
        </w:tc>
      </w:tr>
    </w:tbl>
    <w:tbl>
      <w:tblPr>
        <w:tblStyle w:val="TableGrid1"/>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992"/>
        <w:gridCol w:w="1696"/>
      </w:tblGrid>
      <w:tr w:rsidR="0004207E" w:rsidRPr="00D71614" w14:paraId="580EF1FB" w14:textId="77777777" w:rsidTr="00F301A6">
        <w:tc>
          <w:tcPr>
            <w:tcW w:w="6374" w:type="dxa"/>
          </w:tcPr>
          <w:p w14:paraId="21099EB2" w14:textId="3C13AAE3" w:rsidR="0004207E" w:rsidRPr="00D71614" w:rsidRDefault="0004207E" w:rsidP="00764177">
            <w:pPr>
              <w:ind w:left="284"/>
              <w:rPr>
                <w:rFonts w:asciiTheme="minorHAnsi" w:hAnsiTheme="minorHAnsi"/>
                <w:sz w:val="22"/>
                <w:szCs w:val="22"/>
                <w:lang w:val="nl-BE"/>
              </w:rPr>
            </w:pPr>
            <w:r>
              <w:rPr>
                <w:rFonts w:asciiTheme="minorHAnsi" w:hAnsiTheme="minorHAnsi"/>
                <w:sz w:val="22"/>
                <w:szCs w:val="22"/>
                <w:lang w:val="nl-BE"/>
              </w:rPr>
              <w:t>Te bestemmen resultaat:</w:t>
            </w:r>
          </w:p>
        </w:tc>
        <w:tc>
          <w:tcPr>
            <w:tcW w:w="992" w:type="dxa"/>
          </w:tcPr>
          <w:p w14:paraId="0919C432" w14:textId="04A91899" w:rsidR="0004207E" w:rsidRPr="00D71614" w:rsidRDefault="0004207E" w:rsidP="00764177">
            <w:pPr>
              <w:ind w:left="284"/>
              <w:rPr>
                <w:rFonts w:asciiTheme="minorHAnsi" w:hAnsiTheme="minorHAnsi"/>
                <w:sz w:val="22"/>
                <w:szCs w:val="22"/>
                <w:lang w:val="nl-BE"/>
              </w:rPr>
            </w:pPr>
            <w:r>
              <w:rPr>
                <w:rFonts w:asciiTheme="minorHAnsi" w:hAnsiTheme="minorHAnsi"/>
                <w:sz w:val="22"/>
                <w:szCs w:val="22"/>
                <w:lang w:val="nl-BE"/>
              </w:rPr>
              <w:t>EUR</w:t>
            </w:r>
          </w:p>
        </w:tc>
        <w:tc>
          <w:tcPr>
            <w:tcW w:w="1696" w:type="dxa"/>
          </w:tcPr>
          <w:p w14:paraId="3C88681D" w14:textId="2BC7F2DF" w:rsidR="0004207E" w:rsidRDefault="0004207E" w:rsidP="00764177">
            <w:pPr>
              <w:ind w:left="284"/>
              <w:jc w:val="right"/>
              <w:rPr>
                <w:rFonts w:asciiTheme="minorHAnsi" w:hAnsiTheme="minorHAnsi"/>
                <w:sz w:val="22"/>
                <w:szCs w:val="22"/>
              </w:rPr>
            </w:pPr>
            <w:r>
              <w:rPr>
                <w:rFonts w:asciiTheme="minorHAnsi" w:hAnsiTheme="minorHAnsi"/>
                <w:sz w:val="22"/>
                <w:szCs w:val="22"/>
              </w:rPr>
              <w:t>667.684,86</w:t>
            </w:r>
          </w:p>
        </w:tc>
      </w:tr>
    </w:tbl>
    <w:p w14:paraId="0FD50648" w14:textId="77777777" w:rsidR="00F71170" w:rsidRPr="00A74524" w:rsidRDefault="00F71170" w:rsidP="00764177">
      <w:pPr>
        <w:ind w:left="284" w:hanging="18"/>
        <w:jc w:val="both"/>
        <w:rPr>
          <w:rFonts w:asciiTheme="minorHAnsi" w:hAnsiTheme="minorHAnsi"/>
          <w:sz w:val="22"/>
          <w:szCs w:val="22"/>
          <w:lang w:val="nl-NL" w:eastAsia="nl-NL"/>
        </w:rPr>
      </w:pPr>
    </w:p>
    <w:p w14:paraId="7A5EB8E4" w14:textId="34A22AF1" w:rsidR="00F71170" w:rsidRPr="00A74524" w:rsidRDefault="00F71170" w:rsidP="00764177">
      <w:pPr>
        <w:ind w:left="284" w:hanging="17"/>
        <w:jc w:val="both"/>
        <w:rPr>
          <w:rFonts w:asciiTheme="minorHAnsi" w:hAnsiTheme="minorHAnsi"/>
          <w:sz w:val="22"/>
          <w:szCs w:val="22"/>
          <w:lang w:val="nl-NL" w:eastAsia="nl-NL"/>
        </w:rPr>
      </w:pPr>
      <w:r w:rsidRPr="00A74524">
        <w:rPr>
          <w:rFonts w:asciiTheme="minorHAnsi" w:hAnsiTheme="minorHAnsi"/>
          <w:sz w:val="22"/>
          <w:szCs w:val="22"/>
          <w:lang w:val="nl-NL" w:eastAsia="nl-NL"/>
        </w:rPr>
        <w:t xml:space="preserve">Wij stellen </w:t>
      </w:r>
      <w:r w:rsidR="001150DE">
        <w:rPr>
          <w:rFonts w:asciiTheme="minorHAnsi" w:hAnsiTheme="minorHAnsi"/>
          <w:sz w:val="22"/>
          <w:szCs w:val="22"/>
          <w:lang w:val="nl-NL" w:eastAsia="nl-NL"/>
        </w:rPr>
        <w:t>u</w:t>
      </w:r>
      <w:r w:rsidRPr="00A74524">
        <w:rPr>
          <w:rFonts w:asciiTheme="minorHAnsi" w:hAnsiTheme="minorHAnsi"/>
          <w:sz w:val="22"/>
          <w:szCs w:val="22"/>
          <w:lang w:val="nl-NL" w:eastAsia="nl-NL"/>
        </w:rPr>
        <w:t xml:space="preserve"> voor dit saldo als volgt te bestemmen:</w:t>
      </w:r>
    </w:p>
    <w:p w14:paraId="1EE800A3" w14:textId="77777777" w:rsidR="00F71170" w:rsidRPr="00A74524" w:rsidRDefault="00F71170" w:rsidP="00764177">
      <w:pPr>
        <w:ind w:left="284" w:hanging="18"/>
        <w:jc w:val="both"/>
        <w:rPr>
          <w:rFonts w:asciiTheme="minorHAnsi" w:hAnsiTheme="minorHAnsi"/>
          <w:sz w:val="22"/>
          <w:szCs w:val="22"/>
          <w:lang w:val="nl-NL" w:eastAsia="nl-NL"/>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992"/>
        <w:gridCol w:w="1696"/>
      </w:tblGrid>
      <w:tr w:rsidR="00F71170" w:rsidRPr="00A74524" w14:paraId="471E55F0" w14:textId="77777777" w:rsidTr="00F301A6">
        <w:tc>
          <w:tcPr>
            <w:tcW w:w="6374" w:type="dxa"/>
          </w:tcPr>
          <w:p w14:paraId="2FFCB9F3" w14:textId="77777777" w:rsidR="00F71170" w:rsidRPr="00A74524" w:rsidRDefault="00F71170" w:rsidP="00764177">
            <w:pPr>
              <w:ind w:left="284"/>
              <w:rPr>
                <w:rFonts w:asciiTheme="minorHAnsi" w:hAnsiTheme="minorHAnsi"/>
                <w:sz w:val="22"/>
                <w:szCs w:val="22"/>
                <w:lang w:val="nl-BE"/>
              </w:rPr>
            </w:pPr>
            <w:r w:rsidRPr="00A74524">
              <w:rPr>
                <w:rFonts w:asciiTheme="minorHAnsi" w:hAnsiTheme="minorHAnsi"/>
                <w:sz w:val="22"/>
                <w:szCs w:val="22"/>
                <w:lang w:val="nl-BE"/>
              </w:rPr>
              <w:t>Vergoeding van het kapitaal:</w:t>
            </w:r>
          </w:p>
        </w:tc>
        <w:tc>
          <w:tcPr>
            <w:tcW w:w="992" w:type="dxa"/>
          </w:tcPr>
          <w:p w14:paraId="0D766DCE" w14:textId="77777777" w:rsidR="00F71170" w:rsidRPr="00A74524" w:rsidRDefault="00F71170" w:rsidP="00764177">
            <w:pPr>
              <w:ind w:left="284"/>
              <w:rPr>
                <w:rFonts w:asciiTheme="minorHAnsi" w:hAnsiTheme="minorHAnsi"/>
                <w:sz w:val="22"/>
                <w:szCs w:val="22"/>
                <w:lang w:val="nl-BE"/>
              </w:rPr>
            </w:pPr>
            <w:r w:rsidRPr="00A74524">
              <w:rPr>
                <w:rFonts w:asciiTheme="minorHAnsi" w:hAnsiTheme="minorHAnsi"/>
                <w:sz w:val="22"/>
                <w:szCs w:val="22"/>
                <w:lang w:val="nl-BE"/>
              </w:rPr>
              <w:t>EUR</w:t>
            </w:r>
          </w:p>
        </w:tc>
        <w:tc>
          <w:tcPr>
            <w:tcW w:w="1696" w:type="dxa"/>
          </w:tcPr>
          <w:p w14:paraId="135F391A" w14:textId="662C5969" w:rsidR="00F71170" w:rsidRPr="00A74524" w:rsidRDefault="00F0075D" w:rsidP="00764177">
            <w:pPr>
              <w:ind w:left="284"/>
              <w:jc w:val="right"/>
              <w:rPr>
                <w:rFonts w:asciiTheme="minorHAnsi" w:hAnsiTheme="minorHAnsi"/>
                <w:sz w:val="22"/>
                <w:szCs w:val="22"/>
                <w:lang w:val="nl-BE"/>
              </w:rPr>
            </w:pPr>
            <w:r>
              <w:rPr>
                <w:rFonts w:asciiTheme="minorHAnsi" w:hAnsiTheme="minorHAnsi" w:cstheme="minorHAnsi"/>
                <w:sz w:val="22"/>
                <w:szCs w:val="22"/>
              </w:rPr>
              <w:t>661.937,85</w:t>
            </w:r>
          </w:p>
        </w:tc>
      </w:tr>
      <w:tr w:rsidR="00E21ACA" w:rsidRPr="00A74524" w14:paraId="07D6CADB" w14:textId="77777777" w:rsidTr="00F301A6">
        <w:tc>
          <w:tcPr>
            <w:tcW w:w="6374" w:type="dxa"/>
          </w:tcPr>
          <w:p w14:paraId="0B2927DA" w14:textId="491054E7" w:rsidR="00E21ACA" w:rsidRPr="00A74524" w:rsidRDefault="00E21ACA" w:rsidP="00764177">
            <w:pPr>
              <w:ind w:left="284"/>
              <w:rPr>
                <w:rFonts w:asciiTheme="minorHAnsi" w:hAnsiTheme="minorHAnsi"/>
                <w:sz w:val="22"/>
                <w:szCs w:val="22"/>
                <w:lang w:val="nl-BE"/>
              </w:rPr>
            </w:pPr>
            <w:r>
              <w:rPr>
                <w:rFonts w:asciiTheme="minorHAnsi" w:hAnsiTheme="minorHAnsi"/>
                <w:sz w:val="22"/>
                <w:szCs w:val="22"/>
                <w:lang w:val="nl-BE"/>
              </w:rPr>
              <w:t>Over te dragen winst:</w:t>
            </w:r>
          </w:p>
        </w:tc>
        <w:tc>
          <w:tcPr>
            <w:tcW w:w="992" w:type="dxa"/>
          </w:tcPr>
          <w:p w14:paraId="44EA7D62" w14:textId="7E7B64F0" w:rsidR="00E21ACA" w:rsidRPr="00A74524" w:rsidRDefault="00E21ACA" w:rsidP="00764177">
            <w:pPr>
              <w:ind w:left="284"/>
              <w:rPr>
                <w:rFonts w:asciiTheme="minorHAnsi" w:hAnsiTheme="minorHAnsi"/>
                <w:sz w:val="22"/>
                <w:szCs w:val="22"/>
                <w:lang w:val="nl-BE"/>
              </w:rPr>
            </w:pPr>
            <w:r>
              <w:rPr>
                <w:rFonts w:asciiTheme="minorHAnsi" w:hAnsiTheme="minorHAnsi"/>
                <w:sz w:val="22"/>
                <w:szCs w:val="22"/>
                <w:lang w:val="nl-BE"/>
              </w:rPr>
              <w:t>EUR</w:t>
            </w:r>
          </w:p>
        </w:tc>
        <w:tc>
          <w:tcPr>
            <w:tcW w:w="1696" w:type="dxa"/>
          </w:tcPr>
          <w:p w14:paraId="72D8F25D" w14:textId="31F2B86C" w:rsidR="00E21ACA" w:rsidRPr="00D71614" w:rsidDel="00E21ACA" w:rsidRDefault="00F0075D" w:rsidP="00764177">
            <w:pPr>
              <w:ind w:left="284"/>
              <w:jc w:val="right"/>
              <w:rPr>
                <w:rFonts w:asciiTheme="minorHAnsi" w:hAnsiTheme="minorHAnsi" w:cstheme="minorHAnsi"/>
                <w:sz w:val="22"/>
                <w:szCs w:val="22"/>
              </w:rPr>
            </w:pPr>
            <w:r>
              <w:rPr>
                <w:rFonts w:asciiTheme="minorHAnsi" w:hAnsiTheme="minorHAnsi" w:cstheme="minorHAnsi"/>
                <w:sz w:val="22"/>
                <w:szCs w:val="22"/>
              </w:rPr>
              <w:t>5.747,01</w:t>
            </w:r>
          </w:p>
        </w:tc>
      </w:tr>
    </w:tbl>
    <w:p w14:paraId="71D3BA91" w14:textId="77777777" w:rsidR="00F71170" w:rsidRPr="00A74524" w:rsidRDefault="00F71170" w:rsidP="00764177">
      <w:pPr>
        <w:ind w:left="284"/>
        <w:jc w:val="both"/>
        <w:rPr>
          <w:rFonts w:asciiTheme="minorHAnsi" w:hAnsiTheme="minorHAnsi"/>
          <w:sz w:val="22"/>
          <w:szCs w:val="22"/>
          <w:lang w:val="nl-BE"/>
        </w:rPr>
      </w:pPr>
    </w:p>
    <w:p w14:paraId="110EA6E9" w14:textId="7078AF46" w:rsidR="00F71170" w:rsidRPr="00974496" w:rsidRDefault="00F71170" w:rsidP="00764177">
      <w:pPr>
        <w:tabs>
          <w:tab w:val="left" w:pos="3015"/>
          <w:tab w:val="left" w:pos="3660"/>
        </w:tabs>
        <w:ind w:left="284"/>
        <w:rPr>
          <w:rFonts w:asciiTheme="minorHAnsi" w:hAnsiTheme="minorHAnsi"/>
          <w:sz w:val="22"/>
          <w:szCs w:val="22"/>
          <w:lang w:val="nl-BE"/>
        </w:rPr>
      </w:pPr>
      <w:r w:rsidRPr="00A74524">
        <w:rPr>
          <w:rFonts w:asciiTheme="minorHAnsi" w:hAnsiTheme="minorHAnsi"/>
          <w:sz w:val="22"/>
          <w:szCs w:val="22"/>
          <w:lang w:val="nl-BE"/>
        </w:rPr>
        <w:t xml:space="preserve">wat neerkomt op een bruto </w:t>
      </w:r>
      <w:r w:rsidRPr="0094386D">
        <w:rPr>
          <w:rFonts w:asciiTheme="minorHAnsi" w:hAnsiTheme="minorHAnsi"/>
          <w:sz w:val="22"/>
          <w:szCs w:val="22"/>
          <w:lang w:val="nl-BE"/>
        </w:rPr>
        <w:t xml:space="preserve">dividend van </w:t>
      </w:r>
      <w:r w:rsidR="00A3731E" w:rsidRPr="001921A1">
        <w:rPr>
          <w:rFonts w:asciiTheme="minorHAnsi" w:hAnsiTheme="minorHAnsi"/>
          <w:sz w:val="22"/>
          <w:szCs w:val="22"/>
          <w:lang w:val="nl-BE"/>
        </w:rPr>
        <w:t>0,</w:t>
      </w:r>
      <w:r w:rsidR="00031DE0" w:rsidRPr="001921A1">
        <w:rPr>
          <w:rFonts w:asciiTheme="minorHAnsi" w:hAnsiTheme="minorHAnsi"/>
          <w:sz w:val="22"/>
          <w:szCs w:val="22"/>
          <w:lang w:val="nl-BE"/>
        </w:rPr>
        <w:t>44</w:t>
      </w:r>
      <w:r w:rsidR="00A3731E" w:rsidRPr="001921A1">
        <w:rPr>
          <w:rFonts w:asciiTheme="minorHAnsi" w:hAnsiTheme="minorHAnsi"/>
          <w:sz w:val="22"/>
          <w:szCs w:val="22"/>
          <w:lang w:val="nl-BE"/>
        </w:rPr>
        <w:t xml:space="preserve"> </w:t>
      </w:r>
      <w:r w:rsidRPr="001921A1">
        <w:rPr>
          <w:rFonts w:asciiTheme="minorHAnsi" w:hAnsiTheme="minorHAnsi"/>
          <w:sz w:val="22"/>
          <w:szCs w:val="22"/>
          <w:lang w:val="nl-BE"/>
        </w:rPr>
        <w:t>euro</w:t>
      </w:r>
      <w:r w:rsidRPr="00010C28">
        <w:rPr>
          <w:rFonts w:asciiTheme="minorHAnsi" w:hAnsiTheme="minorHAnsi"/>
          <w:sz w:val="22"/>
          <w:szCs w:val="22"/>
          <w:lang w:val="nl-BE"/>
        </w:rPr>
        <w:t xml:space="preserve"> (afgerond) per aandeel.</w:t>
      </w:r>
      <w:r>
        <w:rPr>
          <w:rFonts w:asciiTheme="minorHAnsi" w:hAnsiTheme="minorHAnsi"/>
          <w:sz w:val="22"/>
          <w:szCs w:val="22"/>
          <w:lang w:val="nl-BE"/>
        </w:rPr>
        <w:br/>
      </w:r>
    </w:p>
    <w:p w14:paraId="26074DA9" w14:textId="77777777" w:rsidR="00397020" w:rsidRDefault="00397020" w:rsidP="00764177">
      <w:pPr>
        <w:spacing w:after="160" w:line="259" w:lineRule="auto"/>
        <w:ind w:left="284"/>
        <w:rPr>
          <w:rFonts w:asciiTheme="minorHAnsi" w:hAnsiTheme="minorHAnsi"/>
          <w:sz w:val="22"/>
          <w:szCs w:val="22"/>
          <w:lang w:val="nl-BE"/>
        </w:rPr>
      </w:pPr>
      <w:r>
        <w:rPr>
          <w:rFonts w:asciiTheme="minorHAnsi" w:hAnsiTheme="minorHAnsi"/>
          <w:sz w:val="22"/>
          <w:szCs w:val="22"/>
          <w:lang w:val="nl-BE"/>
        </w:rPr>
        <w:br w:type="page"/>
      </w:r>
    </w:p>
    <w:p w14:paraId="7A25E4D9" w14:textId="6C697DAD" w:rsidR="00F71170" w:rsidRPr="00071061" w:rsidRDefault="00F71170" w:rsidP="00F71170">
      <w:pPr>
        <w:pStyle w:val="ListParagraph"/>
        <w:numPr>
          <w:ilvl w:val="0"/>
          <w:numId w:val="1"/>
        </w:numPr>
        <w:tabs>
          <w:tab w:val="left" w:pos="7695"/>
        </w:tabs>
        <w:ind w:left="284"/>
        <w:jc w:val="both"/>
        <w:rPr>
          <w:rFonts w:asciiTheme="minorHAnsi" w:hAnsiTheme="minorHAnsi"/>
          <w:sz w:val="22"/>
          <w:szCs w:val="22"/>
          <w:lang w:val="nl-BE"/>
        </w:rPr>
      </w:pPr>
      <w:r w:rsidRPr="00071061">
        <w:rPr>
          <w:rFonts w:asciiTheme="minorHAnsi" w:hAnsiTheme="minorHAnsi"/>
          <w:sz w:val="22"/>
          <w:szCs w:val="22"/>
          <w:lang w:val="nl-BE"/>
        </w:rPr>
        <w:lastRenderedPageBreak/>
        <w:t>Commentaar op de jaarrekening:</w:t>
      </w:r>
    </w:p>
    <w:p w14:paraId="1AC95F7B" w14:textId="77777777" w:rsidR="00F71170" w:rsidRPr="00071061" w:rsidRDefault="00F71170" w:rsidP="00F71170">
      <w:pPr>
        <w:pStyle w:val="ListParagraph"/>
        <w:tabs>
          <w:tab w:val="left" w:pos="7695"/>
        </w:tabs>
        <w:ind w:left="284"/>
        <w:jc w:val="both"/>
        <w:rPr>
          <w:rFonts w:asciiTheme="minorHAnsi" w:hAnsiTheme="minorHAnsi"/>
          <w:sz w:val="22"/>
          <w:szCs w:val="22"/>
          <w:lang w:val="nl-BE"/>
        </w:rPr>
      </w:pPr>
    </w:p>
    <w:p w14:paraId="3A60B4E5" w14:textId="77777777" w:rsidR="00F71170" w:rsidRPr="00D36B11" w:rsidRDefault="00F71170" w:rsidP="00F71170">
      <w:pPr>
        <w:pStyle w:val="ListParagraph"/>
        <w:numPr>
          <w:ilvl w:val="0"/>
          <w:numId w:val="2"/>
        </w:numPr>
        <w:ind w:left="851"/>
        <w:jc w:val="both"/>
        <w:rPr>
          <w:rFonts w:asciiTheme="minorHAnsi" w:hAnsiTheme="minorHAnsi"/>
          <w:sz w:val="22"/>
          <w:szCs w:val="22"/>
          <w:lang w:val="nl-BE"/>
        </w:rPr>
      </w:pPr>
      <w:r w:rsidRPr="00D36B11">
        <w:rPr>
          <w:rFonts w:asciiTheme="minorHAnsi" w:hAnsiTheme="minorHAnsi"/>
          <w:sz w:val="22"/>
          <w:szCs w:val="22"/>
          <w:lang w:val="nl-BE"/>
        </w:rPr>
        <w:t xml:space="preserve">Tijdens het boekjaar zijn er geen aanschaffingen geweest. </w:t>
      </w:r>
    </w:p>
    <w:p w14:paraId="2B088C69" w14:textId="77777777" w:rsidR="00F71170" w:rsidRPr="00D36B11" w:rsidRDefault="00F71170" w:rsidP="00F71170">
      <w:pPr>
        <w:pStyle w:val="ListParagraph"/>
        <w:numPr>
          <w:ilvl w:val="0"/>
          <w:numId w:val="2"/>
        </w:numPr>
        <w:ind w:left="851"/>
        <w:jc w:val="both"/>
        <w:rPr>
          <w:rFonts w:asciiTheme="minorHAnsi" w:hAnsiTheme="minorHAnsi"/>
          <w:sz w:val="22"/>
          <w:szCs w:val="22"/>
          <w:lang w:val="nl-BE"/>
        </w:rPr>
      </w:pPr>
      <w:r w:rsidRPr="00D36B11">
        <w:rPr>
          <w:rFonts w:asciiTheme="minorHAnsi" w:hAnsiTheme="minorHAnsi"/>
          <w:sz w:val="22"/>
          <w:szCs w:val="22"/>
          <w:lang w:val="nl-BE"/>
        </w:rPr>
        <w:t>De overige vorderingen op meer dan één jaar bedragen 15.000.000,00 euro en betreffen de lening toegekend aan Parkwind.</w:t>
      </w:r>
    </w:p>
    <w:p w14:paraId="01FF5C1C" w14:textId="6F13845D" w:rsidR="00F71170" w:rsidRPr="00D36B11" w:rsidRDefault="00F71170" w:rsidP="00F71170">
      <w:pPr>
        <w:pStyle w:val="ListParagraph"/>
        <w:numPr>
          <w:ilvl w:val="0"/>
          <w:numId w:val="2"/>
        </w:numPr>
        <w:ind w:left="851"/>
        <w:jc w:val="both"/>
        <w:rPr>
          <w:rFonts w:asciiTheme="minorHAnsi" w:hAnsiTheme="minorHAnsi"/>
          <w:sz w:val="22"/>
          <w:szCs w:val="22"/>
          <w:lang w:val="nl-BE"/>
        </w:rPr>
      </w:pPr>
      <w:r w:rsidRPr="00D36B11">
        <w:rPr>
          <w:rFonts w:asciiTheme="minorHAnsi" w:hAnsiTheme="minorHAnsi"/>
          <w:sz w:val="22"/>
          <w:szCs w:val="22"/>
          <w:lang w:val="nl-BE"/>
        </w:rPr>
        <w:t xml:space="preserve">De schulden op ten hoogste één jaar </w:t>
      </w:r>
      <w:r w:rsidRPr="00491249">
        <w:rPr>
          <w:rFonts w:asciiTheme="minorHAnsi" w:hAnsiTheme="minorHAnsi"/>
          <w:sz w:val="22"/>
          <w:szCs w:val="22"/>
          <w:lang w:val="nl-BE"/>
        </w:rPr>
        <w:t xml:space="preserve">bedragen </w:t>
      </w:r>
      <w:r w:rsidR="00582BFC" w:rsidRPr="00491249">
        <w:rPr>
          <w:rFonts w:asciiTheme="minorHAnsi" w:hAnsiTheme="minorHAnsi"/>
          <w:sz w:val="22"/>
          <w:szCs w:val="22"/>
          <w:lang w:val="nl-BE"/>
        </w:rPr>
        <w:t>952.574,37</w:t>
      </w:r>
      <w:r w:rsidRPr="00491249">
        <w:rPr>
          <w:rFonts w:asciiTheme="minorHAnsi" w:hAnsiTheme="minorHAnsi"/>
          <w:sz w:val="22"/>
          <w:szCs w:val="22"/>
          <w:lang w:val="nl-BE"/>
        </w:rPr>
        <w:t xml:space="preserve"> euro</w:t>
      </w:r>
      <w:r w:rsidRPr="00D36B11">
        <w:rPr>
          <w:rFonts w:asciiTheme="minorHAnsi" w:hAnsiTheme="minorHAnsi"/>
          <w:sz w:val="22"/>
          <w:szCs w:val="22"/>
          <w:lang w:val="nl-BE"/>
        </w:rPr>
        <w:t xml:space="preserve"> en betreffen schulden aan leveranciers, belastingen en uit te betalen dividenden.</w:t>
      </w:r>
    </w:p>
    <w:p w14:paraId="3C7D47FB" w14:textId="77777777" w:rsidR="00F71170" w:rsidRPr="00E425E7" w:rsidRDefault="00F71170" w:rsidP="00F71170">
      <w:pPr>
        <w:pStyle w:val="ListParagraph"/>
        <w:tabs>
          <w:tab w:val="left" w:pos="3240"/>
        </w:tabs>
        <w:jc w:val="both"/>
        <w:rPr>
          <w:rFonts w:asciiTheme="minorHAnsi" w:hAnsiTheme="minorHAnsi"/>
          <w:sz w:val="22"/>
          <w:szCs w:val="22"/>
          <w:lang w:val="nl-BE"/>
        </w:rPr>
      </w:pPr>
      <w:r w:rsidRPr="00E425E7">
        <w:rPr>
          <w:rFonts w:asciiTheme="minorHAnsi" w:hAnsiTheme="minorHAnsi"/>
          <w:sz w:val="22"/>
          <w:szCs w:val="22"/>
          <w:lang w:val="nl-BE"/>
        </w:rPr>
        <w:tab/>
      </w:r>
    </w:p>
    <w:p w14:paraId="5B38E5FB" w14:textId="77777777" w:rsidR="009E094E" w:rsidRPr="009E094E" w:rsidRDefault="009E094E" w:rsidP="00764177">
      <w:pPr>
        <w:pStyle w:val="ListParagraph"/>
        <w:numPr>
          <w:ilvl w:val="0"/>
          <w:numId w:val="1"/>
        </w:numPr>
        <w:tabs>
          <w:tab w:val="left" w:pos="7695"/>
        </w:tabs>
        <w:ind w:left="284"/>
        <w:jc w:val="both"/>
        <w:rPr>
          <w:rFonts w:asciiTheme="minorHAnsi" w:hAnsiTheme="minorHAnsi"/>
          <w:sz w:val="22"/>
          <w:szCs w:val="22"/>
          <w:lang w:val="nl-BE"/>
        </w:rPr>
      </w:pPr>
      <w:r w:rsidRPr="009E094E">
        <w:rPr>
          <w:rFonts w:asciiTheme="minorHAnsi" w:hAnsiTheme="minorHAnsi"/>
          <w:sz w:val="22"/>
          <w:szCs w:val="22"/>
          <w:lang w:val="nl-BE"/>
        </w:rPr>
        <w:t>Er zijn geen gebeurtenissen na balansdatum die de leesbaarheid en betrouwbaarheid van de jaarrekening beïnvloeden.</w:t>
      </w:r>
    </w:p>
    <w:p w14:paraId="70DFF151" w14:textId="77777777" w:rsidR="00F71170" w:rsidRDefault="00F71170" w:rsidP="00F71170">
      <w:pPr>
        <w:pStyle w:val="ListParagraph"/>
        <w:tabs>
          <w:tab w:val="left" w:pos="7695"/>
        </w:tabs>
        <w:ind w:left="284"/>
        <w:jc w:val="both"/>
        <w:rPr>
          <w:rFonts w:asciiTheme="minorHAnsi" w:hAnsiTheme="minorHAnsi"/>
          <w:sz w:val="22"/>
          <w:szCs w:val="22"/>
          <w:lang w:val="nl-BE"/>
        </w:rPr>
      </w:pPr>
    </w:p>
    <w:p w14:paraId="5A3991FB" w14:textId="77777777" w:rsidR="00F71170" w:rsidRPr="00071061" w:rsidRDefault="00F71170" w:rsidP="00F71170">
      <w:pPr>
        <w:pStyle w:val="ListParagraph"/>
        <w:numPr>
          <w:ilvl w:val="0"/>
          <w:numId w:val="1"/>
        </w:numPr>
        <w:tabs>
          <w:tab w:val="left" w:pos="7695"/>
        </w:tabs>
        <w:ind w:left="284"/>
        <w:jc w:val="both"/>
        <w:rPr>
          <w:rFonts w:asciiTheme="minorHAnsi" w:hAnsiTheme="minorHAnsi"/>
          <w:sz w:val="22"/>
          <w:szCs w:val="22"/>
          <w:lang w:val="nl-BE"/>
        </w:rPr>
      </w:pPr>
      <w:r w:rsidRPr="00071061">
        <w:rPr>
          <w:rFonts w:asciiTheme="minorHAnsi" w:hAnsiTheme="minorHAnsi"/>
          <w:sz w:val="22"/>
          <w:szCs w:val="22"/>
          <w:lang w:val="nl-BE"/>
        </w:rPr>
        <w:t xml:space="preserve">Er zijn geen omstandigheden bekend die de ontwikkeling van de vennootschap </w:t>
      </w:r>
      <w:r>
        <w:rPr>
          <w:rFonts w:asciiTheme="minorHAnsi" w:hAnsiTheme="minorHAnsi"/>
          <w:sz w:val="22"/>
          <w:szCs w:val="22"/>
          <w:lang w:val="nl-BE"/>
        </w:rPr>
        <w:t>aanzienlijk</w:t>
      </w:r>
      <w:r w:rsidRPr="00071061">
        <w:rPr>
          <w:rFonts w:asciiTheme="minorHAnsi" w:hAnsiTheme="minorHAnsi"/>
          <w:sz w:val="22"/>
          <w:szCs w:val="22"/>
          <w:lang w:val="nl-BE"/>
        </w:rPr>
        <w:t xml:space="preserve"> kunnen beïnvloeden, tenzij onder meer de risico’s hieronder vermeld:</w:t>
      </w:r>
    </w:p>
    <w:p w14:paraId="6DA23734" w14:textId="5C1DA240" w:rsidR="00F71170" w:rsidRDefault="00F71170" w:rsidP="00F71170">
      <w:pPr>
        <w:pStyle w:val="ListParagraph"/>
        <w:numPr>
          <w:ilvl w:val="0"/>
          <w:numId w:val="3"/>
        </w:numPr>
        <w:ind w:left="851"/>
        <w:jc w:val="both"/>
        <w:rPr>
          <w:rFonts w:asciiTheme="minorHAnsi" w:hAnsiTheme="minorHAnsi"/>
          <w:sz w:val="22"/>
          <w:szCs w:val="22"/>
          <w:lang w:val="nl-BE"/>
        </w:rPr>
      </w:pPr>
      <w:r>
        <w:rPr>
          <w:rFonts w:asciiTheme="minorHAnsi" w:hAnsiTheme="minorHAnsi"/>
          <w:sz w:val="22"/>
          <w:szCs w:val="22"/>
          <w:lang w:val="nl-BE"/>
        </w:rPr>
        <w:t>De</w:t>
      </w:r>
      <w:r w:rsidRPr="00350ECE">
        <w:rPr>
          <w:rFonts w:asciiTheme="minorHAnsi" w:hAnsiTheme="minorHAnsi"/>
          <w:sz w:val="22"/>
          <w:szCs w:val="22"/>
          <w:lang w:val="nl-BE"/>
        </w:rPr>
        <w:t xml:space="preserve"> </w:t>
      </w:r>
      <w:r>
        <w:rPr>
          <w:rFonts w:asciiTheme="minorHAnsi" w:hAnsiTheme="minorHAnsi"/>
          <w:sz w:val="22"/>
          <w:szCs w:val="22"/>
          <w:lang w:val="nl-BE"/>
        </w:rPr>
        <w:t>beschikbaarheid van de windturbines en hoeveelheid wind kunnen een risico vormen voor de elektriciteitsproductie van de windparken Belwind, Northwind, Nobelwind en Northwester 2. Deze factoren kunnen de jaarlijkse interestvoet die van toepassing is op de leningsovereenkomst met Parkwind maximaal verhogen of verlagen met 0</w:t>
      </w:r>
      <w:r w:rsidR="004D5B3B">
        <w:rPr>
          <w:rFonts w:asciiTheme="minorHAnsi" w:hAnsiTheme="minorHAnsi"/>
          <w:sz w:val="22"/>
          <w:szCs w:val="22"/>
          <w:lang w:val="nl-BE"/>
        </w:rPr>
        <w:t>,</w:t>
      </w:r>
      <w:r>
        <w:rPr>
          <w:rFonts w:asciiTheme="minorHAnsi" w:hAnsiTheme="minorHAnsi"/>
          <w:sz w:val="22"/>
          <w:szCs w:val="22"/>
          <w:lang w:val="nl-BE"/>
        </w:rPr>
        <w:t xml:space="preserve">5%. </w:t>
      </w:r>
    </w:p>
    <w:p w14:paraId="032CAAC0" w14:textId="77777777" w:rsidR="00F71170" w:rsidRDefault="00F71170" w:rsidP="00F71170">
      <w:pPr>
        <w:pStyle w:val="ListParagraph"/>
        <w:numPr>
          <w:ilvl w:val="0"/>
          <w:numId w:val="3"/>
        </w:numPr>
        <w:ind w:left="851"/>
        <w:jc w:val="both"/>
        <w:rPr>
          <w:rFonts w:asciiTheme="minorHAnsi" w:hAnsiTheme="minorHAnsi"/>
          <w:sz w:val="22"/>
          <w:szCs w:val="22"/>
          <w:lang w:val="nl-BE"/>
        </w:rPr>
      </w:pPr>
      <w:r>
        <w:rPr>
          <w:rFonts w:asciiTheme="minorHAnsi" w:hAnsiTheme="minorHAnsi"/>
          <w:sz w:val="22"/>
          <w:szCs w:val="22"/>
          <w:lang w:val="nl-BE"/>
        </w:rPr>
        <w:t xml:space="preserve">Het risico dat Parkwind de toegekende lening, of de contractueel overeengekomen interest niet kan terugbetalen. Dit risico is in grote mate verbonden met het nakomen van betalingsverplichtingen aan Parkwind door de projectvennootschappen waarvan Parkwind aandeelhouder en dienstenleverancier is, alsook met een gezond beleid van Parkwind en de projectenvennootschappen. </w:t>
      </w:r>
      <w:r w:rsidRPr="00071061">
        <w:rPr>
          <w:rFonts w:asciiTheme="minorHAnsi" w:hAnsiTheme="minorHAnsi"/>
          <w:sz w:val="22"/>
          <w:szCs w:val="22"/>
          <w:lang w:val="nl-BE"/>
        </w:rPr>
        <w:t xml:space="preserve">De </w:t>
      </w:r>
      <w:r>
        <w:rPr>
          <w:rFonts w:asciiTheme="minorHAnsi" w:hAnsiTheme="minorHAnsi"/>
          <w:sz w:val="22"/>
          <w:szCs w:val="22"/>
          <w:lang w:val="nl-BE"/>
        </w:rPr>
        <w:t xml:space="preserve">verschillende projectvennootschappen hebben </w:t>
      </w:r>
      <w:r w:rsidRPr="00071061">
        <w:rPr>
          <w:rFonts w:asciiTheme="minorHAnsi" w:hAnsiTheme="minorHAnsi"/>
          <w:sz w:val="22"/>
          <w:szCs w:val="22"/>
          <w:lang w:val="nl-BE"/>
        </w:rPr>
        <w:t xml:space="preserve">de nodige operationele en verzekeringstechnische maatregelen genomen om </w:t>
      </w:r>
      <w:r>
        <w:rPr>
          <w:rFonts w:asciiTheme="minorHAnsi" w:hAnsiTheme="minorHAnsi"/>
          <w:sz w:val="22"/>
          <w:szCs w:val="22"/>
          <w:lang w:val="nl-BE"/>
        </w:rPr>
        <w:t>risico’s in te dekken die een impact kunnen hebben op hun betalingsverplichtingen ten aanzien van Parkwind</w:t>
      </w:r>
      <w:r w:rsidRPr="00071061">
        <w:rPr>
          <w:rFonts w:asciiTheme="minorHAnsi" w:hAnsiTheme="minorHAnsi"/>
          <w:sz w:val="22"/>
          <w:szCs w:val="22"/>
          <w:lang w:val="nl-BE"/>
        </w:rPr>
        <w:t>.</w:t>
      </w:r>
    </w:p>
    <w:p w14:paraId="639F27BE" w14:textId="504FF336" w:rsidR="00F71170" w:rsidRPr="002B78B3" w:rsidRDefault="00F71170" w:rsidP="00F71170">
      <w:pPr>
        <w:pStyle w:val="ListParagraph"/>
        <w:numPr>
          <w:ilvl w:val="0"/>
          <w:numId w:val="3"/>
        </w:numPr>
        <w:ind w:left="851"/>
        <w:jc w:val="both"/>
        <w:rPr>
          <w:rFonts w:asciiTheme="minorHAnsi" w:hAnsiTheme="minorHAnsi"/>
          <w:sz w:val="22"/>
          <w:szCs w:val="22"/>
          <w:lang w:val="nl-BE"/>
        </w:rPr>
      </w:pPr>
      <w:r>
        <w:rPr>
          <w:rFonts w:asciiTheme="minorHAnsi" w:hAnsiTheme="minorHAnsi"/>
          <w:sz w:val="22"/>
          <w:szCs w:val="22"/>
          <w:lang w:val="nl-BE"/>
        </w:rPr>
        <w:t>De r</w:t>
      </w:r>
      <w:r w:rsidRPr="002B78B3">
        <w:rPr>
          <w:rFonts w:asciiTheme="minorHAnsi" w:hAnsiTheme="minorHAnsi"/>
          <w:sz w:val="22"/>
          <w:szCs w:val="22"/>
          <w:lang w:val="nl-BE"/>
        </w:rPr>
        <w:t xml:space="preserve">isico’s verbonden aan het gelijktijdig uittreden van </w:t>
      </w:r>
      <w:r w:rsidRPr="00F4035E">
        <w:rPr>
          <w:rFonts w:asciiTheme="minorHAnsi" w:hAnsiTheme="minorHAnsi"/>
          <w:sz w:val="22"/>
          <w:szCs w:val="22"/>
          <w:lang w:val="nl-BE"/>
        </w:rPr>
        <w:t xml:space="preserve">een significante groep van </w:t>
      </w:r>
      <w:r>
        <w:rPr>
          <w:rFonts w:asciiTheme="minorHAnsi" w:hAnsiTheme="minorHAnsi"/>
          <w:sz w:val="22"/>
          <w:szCs w:val="22"/>
          <w:lang w:val="nl-BE"/>
        </w:rPr>
        <w:t>aandeelhouders</w:t>
      </w:r>
      <w:r w:rsidRPr="003905AC">
        <w:rPr>
          <w:rFonts w:asciiTheme="minorHAnsi" w:hAnsiTheme="minorHAnsi"/>
          <w:sz w:val="22"/>
          <w:szCs w:val="22"/>
          <w:lang w:val="nl-BE"/>
        </w:rPr>
        <w:t>. Dit risico</w:t>
      </w:r>
      <w:r w:rsidRPr="002B78B3">
        <w:rPr>
          <w:rFonts w:asciiTheme="minorHAnsi" w:hAnsiTheme="minorHAnsi"/>
          <w:sz w:val="22"/>
          <w:szCs w:val="22"/>
          <w:lang w:val="nl-BE"/>
        </w:rPr>
        <w:t xml:space="preserve"> is beperkt aangezien de raad van bestuur bevoegd is om uittredingen te weigeren ingeval van liquiditeitsproblemen</w:t>
      </w:r>
      <w:r>
        <w:rPr>
          <w:rFonts w:asciiTheme="minorHAnsi" w:hAnsiTheme="minorHAnsi"/>
          <w:sz w:val="22"/>
          <w:szCs w:val="22"/>
          <w:lang w:val="nl-BE"/>
        </w:rPr>
        <w:t xml:space="preserve"> van North Sea Wind</w:t>
      </w:r>
      <w:r w:rsidRPr="003905AC">
        <w:rPr>
          <w:rFonts w:asciiTheme="minorHAnsi" w:hAnsiTheme="minorHAnsi"/>
          <w:sz w:val="22"/>
          <w:szCs w:val="22"/>
          <w:lang w:val="nl-BE"/>
        </w:rPr>
        <w:t xml:space="preserve">. </w:t>
      </w:r>
    </w:p>
    <w:p w14:paraId="6BC4935E" w14:textId="77777777" w:rsidR="00F71170" w:rsidRPr="00071061" w:rsidRDefault="00F71170" w:rsidP="00F71170">
      <w:pPr>
        <w:rPr>
          <w:rFonts w:asciiTheme="minorHAnsi" w:hAnsiTheme="minorHAnsi"/>
          <w:sz w:val="22"/>
          <w:szCs w:val="22"/>
          <w:lang w:val="nl-BE"/>
        </w:rPr>
      </w:pPr>
    </w:p>
    <w:p w14:paraId="6F566AD7" w14:textId="77777777" w:rsidR="00F71170" w:rsidRPr="00071061" w:rsidRDefault="00F71170" w:rsidP="00F71170">
      <w:pPr>
        <w:pStyle w:val="ListParagraph"/>
        <w:numPr>
          <w:ilvl w:val="0"/>
          <w:numId w:val="1"/>
        </w:numPr>
        <w:tabs>
          <w:tab w:val="left" w:pos="7695"/>
        </w:tabs>
        <w:ind w:left="284"/>
        <w:rPr>
          <w:rFonts w:asciiTheme="minorHAnsi" w:hAnsiTheme="minorHAnsi"/>
          <w:sz w:val="22"/>
          <w:szCs w:val="22"/>
          <w:lang w:val="nl-BE"/>
        </w:rPr>
      </w:pPr>
      <w:r w:rsidRPr="00071061">
        <w:rPr>
          <w:rFonts w:asciiTheme="minorHAnsi" w:hAnsiTheme="minorHAnsi"/>
          <w:sz w:val="22"/>
          <w:szCs w:val="22"/>
          <w:lang w:val="nl-BE"/>
        </w:rPr>
        <w:t>Er zijn geen bijkantoren.</w:t>
      </w:r>
    </w:p>
    <w:p w14:paraId="614DB74F" w14:textId="77777777" w:rsidR="00F71170" w:rsidRPr="00071061" w:rsidRDefault="00F71170" w:rsidP="00F71170">
      <w:pPr>
        <w:pStyle w:val="ListParagraph"/>
        <w:tabs>
          <w:tab w:val="left" w:pos="7695"/>
        </w:tabs>
        <w:ind w:left="284"/>
        <w:rPr>
          <w:rFonts w:asciiTheme="minorHAnsi" w:hAnsiTheme="minorHAnsi"/>
          <w:sz w:val="22"/>
          <w:szCs w:val="22"/>
          <w:lang w:val="nl-BE"/>
        </w:rPr>
      </w:pPr>
    </w:p>
    <w:p w14:paraId="7D7E3F9E" w14:textId="6588E336" w:rsidR="00F71170" w:rsidRDefault="00F71170" w:rsidP="00F71170">
      <w:pPr>
        <w:pStyle w:val="ListParagraph"/>
        <w:numPr>
          <w:ilvl w:val="0"/>
          <w:numId w:val="1"/>
        </w:numPr>
        <w:tabs>
          <w:tab w:val="left" w:pos="7695"/>
        </w:tabs>
        <w:ind w:left="284"/>
        <w:jc w:val="both"/>
        <w:rPr>
          <w:rFonts w:asciiTheme="minorHAnsi" w:hAnsiTheme="minorHAnsi"/>
          <w:sz w:val="22"/>
          <w:szCs w:val="22"/>
          <w:lang w:val="nl-BE"/>
        </w:rPr>
      </w:pPr>
      <w:r w:rsidRPr="00071061">
        <w:rPr>
          <w:rFonts w:asciiTheme="minorHAnsi" w:hAnsiTheme="minorHAnsi"/>
          <w:sz w:val="22"/>
          <w:szCs w:val="22"/>
          <w:lang w:val="nl-BE"/>
        </w:rPr>
        <w:t>Er werden geen werkzaamheden doorgevoerd op het gebied van onderzoek en ontwikkeling.</w:t>
      </w:r>
    </w:p>
    <w:p w14:paraId="35CFDCCD" w14:textId="77777777" w:rsidR="00BE32F4" w:rsidRPr="00FD5E16" w:rsidRDefault="00BE32F4" w:rsidP="00FD5E16">
      <w:pPr>
        <w:pStyle w:val="ListParagraph"/>
        <w:rPr>
          <w:rFonts w:asciiTheme="minorHAnsi" w:hAnsiTheme="minorHAnsi"/>
          <w:sz w:val="22"/>
          <w:szCs w:val="22"/>
          <w:lang w:val="nl-BE"/>
        </w:rPr>
      </w:pPr>
    </w:p>
    <w:p w14:paraId="4F817E1C" w14:textId="4C5AC14B" w:rsidR="00BE32F4" w:rsidRDefault="00BE32F4" w:rsidP="00F71170">
      <w:pPr>
        <w:pStyle w:val="ListParagraph"/>
        <w:numPr>
          <w:ilvl w:val="0"/>
          <w:numId w:val="1"/>
        </w:numPr>
        <w:tabs>
          <w:tab w:val="left" w:pos="7695"/>
        </w:tabs>
        <w:ind w:left="284"/>
        <w:jc w:val="both"/>
        <w:rPr>
          <w:rFonts w:asciiTheme="minorHAnsi" w:hAnsiTheme="minorHAnsi"/>
          <w:sz w:val="22"/>
          <w:szCs w:val="22"/>
          <w:lang w:val="nl-BE"/>
        </w:rPr>
      </w:pPr>
      <w:r w:rsidRPr="00BE32F4">
        <w:rPr>
          <w:rFonts w:asciiTheme="minorHAnsi" w:hAnsiTheme="minorHAnsi"/>
          <w:sz w:val="22"/>
          <w:szCs w:val="22"/>
          <w:lang w:val="nl-BE"/>
        </w:rPr>
        <w:t>Het voornaamste financiële instrument van de vennootschap is een leningsovereenkomst met Parkwind waarvan de modaliteit hierboven reeds zijn geschetst. Daarnaast zijn er banksaldo’s en andere financiële activa en passiva zoals vorderingen en schulden die rechtstreeks afkomstig zijn uit haar activiteiten.</w:t>
      </w:r>
    </w:p>
    <w:p w14:paraId="613869B0" w14:textId="77777777" w:rsidR="005674B3" w:rsidRPr="00F74255" w:rsidRDefault="005674B3" w:rsidP="00F74255">
      <w:pPr>
        <w:pStyle w:val="ListParagraph"/>
        <w:rPr>
          <w:rFonts w:asciiTheme="minorHAnsi" w:hAnsiTheme="minorHAnsi"/>
          <w:sz w:val="22"/>
          <w:szCs w:val="22"/>
          <w:lang w:val="nl-BE"/>
        </w:rPr>
      </w:pPr>
    </w:p>
    <w:p w14:paraId="4B0B8AE8" w14:textId="08B86C6B" w:rsidR="00F71170" w:rsidRPr="00071061" w:rsidRDefault="00F71170" w:rsidP="00764177">
      <w:pPr>
        <w:pStyle w:val="ListParagraph"/>
        <w:numPr>
          <w:ilvl w:val="0"/>
          <w:numId w:val="1"/>
        </w:numPr>
        <w:tabs>
          <w:tab w:val="left" w:pos="7695"/>
        </w:tabs>
        <w:ind w:left="284"/>
        <w:rPr>
          <w:rFonts w:asciiTheme="minorHAnsi" w:hAnsiTheme="minorHAnsi"/>
          <w:sz w:val="22"/>
          <w:szCs w:val="22"/>
          <w:lang w:val="nl-BE"/>
        </w:rPr>
      </w:pPr>
      <w:r w:rsidRPr="00071061">
        <w:rPr>
          <w:rFonts w:asciiTheme="minorHAnsi" w:hAnsiTheme="minorHAnsi"/>
          <w:sz w:val="22"/>
          <w:szCs w:val="22"/>
          <w:lang w:val="nl-BE"/>
        </w:rPr>
        <w:t xml:space="preserve">Wij verzoeken </w:t>
      </w:r>
      <w:r>
        <w:rPr>
          <w:rFonts w:asciiTheme="minorHAnsi" w:hAnsiTheme="minorHAnsi"/>
          <w:sz w:val="22"/>
          <w:szCs w:val="22"/>
          <w:lang w:val="nl-BE"/>
        </w:rPr>
        <w:t>u</w:t>
      </w:r>
      <w:r w:rsidRPr="00071061">
        <w:rPr>
          <w:rFonts w:asciiTheme="minorHAnsi" w:hAnsiTheme="minorHAnsi"/>
          <w:sz w:val="22"/>
          <w:szCs w:val="22"/>
          <w:lang w:val="nl-BE"/>
        </w:rPr>
        <w:t xml:space="preserve"> kwijting te verlenen aan de bestuurders voor het uitoefenen van hun mandaat tijdens het afgelopen boekjaar.</w:t>
      </w:r>
    </w:p>
    <w:p w14:paraId="14DCB0FD" w14:textId="77777777" w:rsidR="00F71170" w:rsidRPr="004E68CD" w:rsidRDefault="00F71170" w:rsidP="00F71170">
      <w:pPr>
        <w:pStyle w:val="ListParagraph"/>
        <w:tabs>
          <w:tab w:val="left" w:pos="7695"/>
        </w:tabs>
        <w:ind w:left="284"/>
        <w:jc w:val="both"/>
        <w:rPr>
          <w:rFonts w:asciiTheme="minorHAnsi" w:hAnsiTheme="minorHAnsi"/>
          <w:sz w:val="22"/>
          <w:szCs w:val="22"/>
          <w:lang w:val="nl-BE" w:eastAsia="nl-NL"/>
        </w:rPr>
      </w:pPr>
    </w:p>
    <w:p w14:paraId="717E910E" w14:textId="77777777" w:rsidR="00F71170" w:rsidRPr="00E425E7" w:rsidRDefault="00F71170" w:rsidP="00F71170">
      <w:pPr>
        <w:pStyle w:val="ListParagraph"/>
        <w:numPr>
          <w:ilvl w:val="0"/>
          <w:numId w:val="1"/>
        </w:numPr>
        <w:tabs>
          <w:tab w:val="left" w:pos="7695"/>
        </w:tabs>
        <w:ind w:left="284"/>
        <w:jc w:val="both"/>
        <w:rPr>
          <w:rFonts w:asciiTheme="minorHAnsi" w:hAnsiTheme="minorHAnsi"/>
          <w:sz w:val="22"/>
          <w:szCs w:val="22"/>
          <w:lang w:val="nl-BE"/>
        </w:rPr>
      </w:pPr>
      <w:r w:rsidRPr="00E425E7">
        <w:rPr>
          <w:rFonts w:asciiTheme="minorHAnsi" w:hAnsiTheme="minorHAnsi"/>
          <w:sz w:val="22"/>
          <w:szCs w:val="22"/>
          <w:lang w:val="nl-BE"/>
        </w:rPr>
        <w:t xml:space="preserve">Wij verzoeken </w:t>
      </w:r>
      <w:r>
        <w:rPr>
          <w:rFonts w:asciiTheme="minorHAnsi" w:hAnsiTheme="minorHAnsi"/>
          <w:sz w:val="22"/>
          <w:szCs w:val="22"/>
          <w:lang w:val="nl-BE"/>
        </w:rPr>
        <w:t>u</w:t>
      </w:r>
      <w:r w:rsidRPr="00E425E7">
        <w:rPr>
          <w:rFonts w:asciiTheme="minorHAnsi" w:hAnsiTheme="minorHAnsi"/>
          <w:sz w:val="22"/>
          <w:szCs w:val="22"/>
          <w:lang w:val="nl-BE"/>
        </w:rPr>
        <w:t xml:space="preserve"> kwijting te verlenen aan de commissaris voor het uitoefenen van zijn mandaat tijdens het afgelopen boekjaar.</w:t>
      </w:r>
    </w:p>
    <w:p w14:paraId="1F8FBA4D" w14:textId="77777777" w:rsidR="00F71170" w:rsidRPr="004E68CD" w:rsidRDefault="00F71170" w:rsidP="00F71170">
      <w:pPr>
        <w:tabs>
          <w:tab w:val="left" w:pos="7695"/>
        </w:tabs>
        <w:jc w:val="both"/>
        <w:rPr>
          <w:rFonts w:asciiTheme="minorHAnsi" w:hAnsiTheme="minorHAnsi"/>
          <w:sz w:val="22"/>
          <w:szCs w:val="22"/>
          <w:lang w:val="nl-BE" w:eastAsia="nl-NL"/>
        </w:rPr>
      </w:pPr>
    </w:p>
    <w:p w14:paraId="399B8BAD" w14:textId="77777777" w:rsidR="004D5B3B" w:rsidRDefault="004D5B3B" w:rsidP="00F71170">
      <w:pPr>
        <w:tabs>
          <w:tab w:val="left" w:pos="3510"/>
        </w:tabs>
        <w:jc w:val="both"/>
        <w:rPr>
          <w:rFonts w:asciiTheme="minorHAnsi" w:hAnsiTheme="minorHAnsi"/>
          <w:sz w:val="22"/>
          <w:szCs w:val="22"/>
          <w:lang w:val="nl-NL" w:eastAsia="nl-NL"/>
        </w:rPr>
      </w:pPr>
    </w:p>
    <w:p w14:paraId="67EAEB52" w14:textId="16464F1D" w:rsidR="00F71170" w:rsidRPr="00E425E7" w:rsidRDefault="00F71170" w:rsidP="00F71170">
      <w:pPr>
        <w:tabs>
          <w:tab w:val="left" w:pos="3510"/>
        </w:tabs>
        <w:jc w:val="both"/>
        <w:rPr>
          <w:rFonts w:asciiTheme="minorHAnsi" w:hAnsiTheme="minorHAnsi"/>
          <w:sz w:val="22"/>
          <w:szCs w:val="22"/>
          <w:lang w:val="nl-NL" w:eastAsia="nl-NL"/>
        </w:rPr>
      </w:pPr>
      <w:r w:rsidRPr="0076528D">
        <w:rPr>
          <w:rFonts w:asciiTheme="minorHAnsi" w:hAnsiTheme="minorHAnsi"/>
          <w:sz w:val="22"/>
          <w:szCs w:val="22"/>
          <w:lang w:val="nl-NL" w:eastAsia="nl-NL"/>
        </w:rPr>
        <w:t xml:space="preserve">Leuven, </w:t>
      </w:r>
      <w:r w:rsidR="0076528D" w:rsidRPr="00764177">
        <w:rPr>
          <w:rFonts w:asciiTheme="minorHAnsi" w:hAnsiTheme="minorHAnsi"/>
          <w:sz w:val="22"/>
          <w:szCs w:val="22"/>
          <w:lang w:val="nl-NL" w:eastAsia="nl-NL"/>
        </w:rPr>
        <w:t xml:space="preserve">16 </w:t>
      </w:r>
      <w:r w:rsidR="00351E86" w:rsidRPr="00764177">
        <w:rPr>
          <w:rFonts w:asciiTheme="minorHAnsi" w:hAnsiTheme="minorHAnsi"/>
          <w:sz w:val="22"/>
          <w:szCs w:val="22"/>
          <w:lang w:val="nl-NL" w:eastAsia="nl-NL"/>
        </w:rPr>
        <w:t>april</w:t>
      </w:r>
      <w:r w:rsidR="00C77C2D" w:rsidRPr="00764177">
        <w:rPr>
          <w:rFonts w:asciiTheme="minorHAnsi" w:hAnsiTheme="minorHAnsi"/>
          <w:sz w:val="22"/>
          <w:szCs w:val="22"/>
          <w:lang w:val="nl-NL" w:eastAsia="nl-NL"/>
        </w:rPr>
        <w:t xml:space="preserve"> 202</w:t>
      </w:r>
      <w:r w:rsidR="000005D9" w:rsidRPr="00764177">
        <w:rPr>
          <w:rFonts w:asciiTheme="minorHAnsi" w:hAnsiTheme="minorHAnsi"/>
          <w:sz w:val="22"/>
          <w:szCs w:val="22"/>
          <w:lang w:val="nl-NL" w:eastAsia="nl-NL"/>
        </w:rPr>
        <w:t>4</w:t>
      </w:r>
      <w:r w:rsidRPr="0076528D">
        <w:rPr>
          <w:rFonts w:asciiTheme="minorHAnsi" w:hAnsiTheme="minorHAnsi"/>
          <w:sz w:val="22"/>
          <w:szCs w:val="22"/>
          <w:lang w:val="nl-NL" w:eastAsia="nl-NL"/>
        </w:rPr>
        <w:t>.</w:t>
      </w:r>
    </w:p>
    <w:p w14:paraId="3A529057" w14:textId="77777777" w:rsidR="00F71170" w:rsidRPr="00E425E7" w:rsidRDefault="00F71170" w:rsidP="00F71170">
      <w:pPr>
        <w:rPr>
          <w:rFonts w:asciiTheme="minorHAnsi" w:hAnsiTheme="minorHAnsi"/>
          <w:sz w:val="22"/>
          <w:szCs w:val="22"/>
          <w:lang w:val="nl-NL" w:eastAsia="nl-NL"/>
        </w:rPr>
      </w:pPr>
    </w:p>
    <w:p w14:paraId="0C78347F" w14:textId="77777777" w:rsidR="00F71170" w:rsidRDefault="00F71170" w:rsidP="00F71170">
      <w:pPr>
        <w:rPr>
          <w:rFonts w:asciiTheme="minorHAnsi" w:hAnsiTheme="minorHAnsi"/>
          <w:sz w:val="22"/>
          <w:szCs w:val="22"/>
          <w:lang w:val="nl-NL" w:eastAsia="nl-NL"/>
        </w:rPr>
      </w:pPr>
    </w:p>
    <w:tbl>
      <w:tblPr>
        <w:tblpPr w:leftFromText="141" w:rightFromText="141" w:bottomFromText="160" w:vertAnchor="text" w:horzAnchor="margin" w:tblpY="62"/>
        <w:tblW w:w="9468" w:type="dxa"/>
        <w:tblLook w:val="01E0" w:firstRow="1" w:lastRow="1" w:firstColumn="1" w:lastColumn="1" w:noHBand="0" w:noVBand="0"/>
      </w:tblPr>
      <w:tblGrid>
        <w:gridCol w:w="4248"/>
        <w:gridCol w:w="900"/>
        <w:gridCol w:w="4320"/>
      </w:tblGrid>
      <w:tr w:rsidR="00F71170" w:rsidRPr="000A4A41" w14:paraId="5F37D3CE" w14:textId="77777777" w:rsidTr="00F301A6">
        <w:tc>
          <w:tcPr>
            <w:tcW w:w="4248" w:type="dxa"/>
          </w:tcPr>
          <w:p w14:paraId="7A82AC46" w14:textId="77777777" w:rsidR="00F71170" w:rsidRPr="006C2E87" w:rsidRDefault="00F71170" w:rsidP="00F301A6">
            <w:pPr>
              <w:spacing w:line="300" w:lineRule="exact"/>
              <w:jc w:val="center"/>
              <w:rPr>
                <w:rFonts w:asciiTheme="minorHAnsi" w:hAnsiTheme="minorHAnsi" w:cstheme="minorHAnsi"/>
                <w:sz w:val="22"/>
                <w:szCs w:val="22"/>
                <w:lang w:val="nl-NL"/>
              </w:rPr>
            </w:pPr>
          </w:p>
        </w:tc>
        <w:tc>
          <w:tcPr>
            <w:tcW w:w="900" w:type="dxa"/>
          </w:tcPr>
          <w:p w14:paraId="0217E5DB" w14:textId="77777777" w:rsidR="00F71170" w:rsidRPr="006C2E87" w:rsidRDefault="00F71170" w:rsidP="00F301A6">
            <w:pPr>
              <w:spacing w:line="300" w:lineRule="exact"/>
              <w:jc w:val="both"/>
              <w:rPr>
                <w:rFonts w:asciiTheme="minorHAnsi" w:hAnsiTheme="minorHAnsi" w:cstheme="minorHAnsi"/>
                <w:sz w:val="22"/>
                <w:szCs w:val="22"/>
                <w:lang w:val="nl-NL"/>
              </w:rPr>
            </w:pPr>
          </w:p>
        </w:tc>
        <w:tc>
          <w:tcPr>
            <w:tcW w:w="4320" w:type="dxa"/>
          </w:tcPr>
          <w:p w14:paraId="69D9AFBD" w14:textId="77777777" w:rsidR="00F71170" w:rsidRPr="006C2E87" w:rsidRDefault="00F71170" w:rsidP="00F301A6">
            <w:pPr>
              <w:spacing w:line="300" w:lineRule="exact"/>
              <w:jc w:val="center"/>
              <w:rPr>
                <w:rFonts w:asciiTheme="minorHAnsi" w:hAnsiTheme="minorHAnsi" w:cstheme="minorHAnsi"/>
                <w:sz w:val="22"/>
                <w:szCs w:val="22"/>
                <w:lang w:val="nl-NL"/>
              </w:rPr>
            </w:pPr>
          </w:p>
        </w:tc>
      </w:tr>
      <w:tr w:rsidR="00F71170" w:rsidRPr="000A4A41" w14:paraId="73AF3150" w14:textId="77777777" w:rsidTr="00F301A6">
        <w:tc>
          <w:tcPr>
            <w:tcW w:w="4248" w:type="dxa"/>
          </w:tcPr>
          <w:p w14:paraId="7BC57720" w14:textId="77777777" w:rsidR="00F71170" w:rsidRPr="006C2E87" w:rsidRDefault="00F71170" w:rsidP="00F301A6">
            <w:pPr>
              <w:spacing w:line="300" w:lineRule="exact"/>
              <w:jc w:val="center"/>
              <w:rPr>
                <w:rFonts w:asciiTheme="minorHAnsi" w:hAnsiTheme="minorHAnsi" w:cstheme="minorHAnsi"/>
                <w:sz w:val="22"/>
                <w:szCs w:val="22"/>
                <w:lang w:val="nl-NL"/>
              </w:rPr>
            </w:pPr>
          </w:p>
        </w:tc>
        <w:tc>
          <w:tcPr>
            <w:tcW w:w="900" w:type="dxa"/>
          </w:tcPr>
          <w:p w14:paraId="6177F90A" w14:textId="77777777" w:rsidR="00F71170" w:rsidRPr="006C2E87" w:rsidRDefault="00F71170" w:rsidP="00F301A6">
            <w:pPr>
              <w:spacing w:line="300" w:lineRule="exact"/>
              <w:jc w:val="both"/>
              <w:rPr>
                <w:rFonts w:asciiTheme="minorHAnsi" w:hAnsiTheme="minorHAnsi" w:cstheme="minorHAnsi"/>
                <w:sz w:val="22"/>
                <w:szCs w:val="22"/>
                <w:lang w:val="nl-NL"/>
              </w:rPr>
            </w:pPr>
          </w:p>
        </w:tc>
        <w:tc>
          <w:tcPr>
            <w:tcW w:w="4320" w:type="dxa"/>
          </w:tcPr>
          <w:p w14:paraId="5299DC8F" w14:textId="77777777" w:rsidR="00F71170" w:rsidRPr="006C2E87" w:rsidRDefault="00F71170" w:rsidP="00F301A6">
            <w:pPr>
              <w:spacing w:line="300" w:lineRule="exact"/>
              <w:jc w:val="center"/>
              <w:rPr>
                <w:rFonts w:asciiTheme="minorHAnsi" w:hAnsiTheme="minorHAnsi" w:cstheme="minorHAnsi"/>
                <w:sz w:val="22"/>
                <w:szCs w:val="22"/>
                <w:lang w:val="nl-NL"/>
              </w:rPr>
            </w:pPr>
          </w:p>
        </w:tc>
      </w:tr>
      <w:tr w:rsidR="00F71170" w:rsidRPr="000A4A41" w14:paraId="71FE8353" w14:textId="77777777" w:rsidTr="00F301A6">
        <w:tc>
          <w:tcPr>
            <w:tcW w:w="4248" w:type="dxa"/>
          </w:tcPr>
          <w:p w14:paraId="2303C253" w14:textId="77777777" w:rsidR="00F71170" w:rsidRPr="006C2E87" w:rsidRDefault="00F71170" w:rsidP="00F301A6">
            <w:pPr>
              <w:spacing w:line="300" w:lineRule="exact"/>
              <w:jc w:val="center"/>
              <w:rPr>
                <w:rFonts w:asciiTheme="minorHAnsi" w:hAnsiTheme="minorHAnsi" w:cstheme="minorHAnsi"/>
                <w:sz w:val="22"/>
                <w:szCs w:val="22"/>
                <w:lang w:val="nl-NL"/>
              </w:rPr>
            </w:pPr>
          </w:p>
        </w:tc>
        <w:tc>
          <w:tcPr>
            <w:tcW w:w="900" w:type="dxa"/>
          </w:tcPr>
          <w:p w14:paraId="6242B228" w14:textId="77777777" w:rsidR="00F71170" w:rsidRPr="006C2E87" w:rsidRDefault="00F71170" w:rsidP="00F301A6">
            <w:pPr>
              <w:spacing w:line="300" w:lineRule="exact"/>
              <w:jc w:val="both"/>
              <w:rPr>
                <w:rFonts w:asciiTheme="minorHAnsi" w:hAnsiTheme="minorHAnsi" w:cstheme="minorHAnsi"/>
                <w:sz w:val="22"/>
                <w:szCs w:val="22"/>
                <w:lang w:val="nl-NL"/>
              </w:rPr>
            </w:pPr>
          </w:p>
        </w:tc>
        <w:tc>
          <w:tcPr>
            <w:tcW w:w="4320" w:type="dxa"/>
          </w:tcPr>
          <w:p w14:paraId="33B997BA" w14:textId="77777777" w:rsidR="00F71170" w:rsidRPr="006C2E87" w:rsidRDefault="00F71170" w:rsidP="00F301A6">
            <w:pPr>
              <w:spacing w:line="300" w:lineRule="exact"/>
              <w:jc w:val="center"/>
              <w:rPr>
                <w:rFonts w:asciiTheme="minorHAnsi" w:hAnsiTheme="minorHAnsi" w:cstheme="minorHAnsi"/>
                <w:sz w:val="22"/>
                <w:szCs w:val="22"/>
                <w:lang w:val="nl-NL"/>
              </w:rPr>
            </w:pPr>
          </w:p>
        </w:tc>
      </w:tr>
      <w:tr w:rsidR="00F71170" w:rsidRPr="000A4A41" w14:paraId="2DCEBB12" w14:textId="77777777" w:rsidTr="00F301A6">
        <w:tc>
          <w:tcPr>
            <w:tcW w:w="4248" w:type="dxa"/>
          </w:tcPr>
          <w:p w14:paraId="4C00EF4D" w14:textId="77777777" w:rsidR="00F71170" w:rsidRPr="006C2E87" w:rsidRDefault="00F71170" w:rsidP="00F301A6">
            <w:pPr>
              <w:spacing w:line="300" w:lineRule="exact"/>
              <w:jc w:val="center"/>
              <w:rPr>
                <w:rFonts w:asciiTheme="minorHAnsi" w:hAnsiTheme="minorHAnsi" w:cstheme="minorHAnsi"/>
                <w:sz w:val="22"/>
                <w:szCs w:val="22"/>
                <w:lang w:val="nl-NL"/>
              </w:rPr>
            </w:pPr>
          </w:p>
        </w:tc>
        <w:tc>
          <w:tcPr>
            <w:tcW w:w="900" w:type="dxa"/>
          </w:tcPr>
          <w:p w14:paraId="5AE94964" w14:textId="77777777" w:rsidR="00F71170" w:rsidRPr="006C2E87" w:rsidRDefault="00F71170" w:rsidP="00F301A6">
            <w:pPr>
              <w:spacing w:line="300" w:lineRule="exact"/>
              <w:jc w:val="both"/>
              <w:rPr>
                <w:rFonts w:asciiTheme="minorHAnsi" w:hAnsiTheme="minorHAnsi" w:cstheme="minorHAnsi"/>
                <w:sz w:val="22"/>
                <w:szCs w:val="22"/>
                <w:lang w:val="nl-NL"/>
              </w:rPr>
            </w:pPr>
          </w:p>
        </w:tc>
        <w:tc>
          <w:tcPr>
            <w:tcW w:w="4320" w:type="dxa"/>
          </w:tcPr>
          <w:p w14:paraId="42B17B29" w14:textId="77777777" w:rsidR="00F71170" w:rsidRPr="006C2E87" w:rsidRDefault="00F71170" w:rsidP="00F301A6">
            <w:pPr>
              <w:spacing w:line="300" w:lineRule="exact"/>
              <w:jc w:val="center"/>
              <w:rPr>
                <w:rFonts w:asciiTheme="minorHAnsi" w:hAnsiTheme="minorHAnsi" w:cstheme="minorHAnsi"/>
                <w:sz w:val="22"/>
                <w:szCs w:val="22"/>
                <w:lang w:val="nl-NL"/>
              </w:rPr>
            </w:pPr>
          </w:p>
        </w:tc>
      </w:tr>
      <w:tr w:rsidR="00F71170" w:rsidRPr="000A4A41" w14:paraId="7F4F68BB" w14:textId="77777777" w:rsidTr="00F301A6">
        <w:tc>
          <w:tcPr>
            <w:tcW w:w="4248" w:type="dxa"/>
          </w:tcPr>
          <w:p w14:paraId="6EEB7FF2" w14:textId="77777777" w:rsidR="00F71170" w:rsidRPr="006C2E87" w:rsidRDefault="00F71170" w:rsidP="00F301A6">
            <w:pPr>
              <w:spacing w:line="300" w:lineRule="exact"/>
              <w:jc w:val="center"/>
              <w:rPr>
                <w:rFonts w:asciiTheme="minorHAnsi" w:hAnsiTheme="minorHAnsi" w:cstheme="minorHAnsi"/>
                <w:sz w:val="22"/>
                <w:szCs w:val="22"/>
                <w:lang w:val="nl-NL"/>
              </w:rPr>
            </w:pPr>
          </w:p>
        </w:tc>
        <w:tc>
          <w:tcPr>
            <w:tcW w:w="900" w:type="dxa"/>
          </w:tcPr>
          <w:p w14:paraId="5B986205" w14:textId="77777777" w:rsidR="00F71170" w:rsidRPr="006C2E87" w:rsidRDefault="00F71170" w:rsidP="00F301A6">
            <w:pPr>
              <w:spacing w:line="300" w:lineRule="exact"/>
              <w:jc w:val="both"/>
              <w:rPr>
                <w:rFonts w:asciiTheme="minorHAnsi" w:hAnsiTheme="minorHAnsi" w:cstheme="minorHAnsi"/>
                <w:sz w:val="22"/>
                <w:szCs w:val="22"/>
                <w:lang w:val="nl-NL"/>
              </w:rPr>
            </w:pPr>
          </w:p>
        </w:tc>
        <w:tc>
          <w:tcPr>
            <w:tcW w:w="4320" w:type="dxa"/>
          </w:tcPr>
          <w:p w14:paraId="7FF54470" w14:textId="77777777" w:rsidR="00F71170" w:rsidRPr="006C2E87" w:rsidRDefault="00F71170" w:rsidP="00F301A6">
            <w:pPr>
              <w:spacing w:line="300" w:lineRule="exact"/>
              <w:jc w:val="center"/>
              <w:rPr>
                <w:rFonts w:asciiTheme="minorHAnsi" w:hAnsiTheme="minorHAnsi" w:cstheme="minorHAnsi"/>
                <w:sz w:val="22"/>
                <w:szCs w:val="22"/>
                <w:lang w:val="nl-NL"/>
              </w:rPr>
            </w:pPr>
          </w:p>
        </w:tc>
      </w:tr>
      <w:tr w:rsidR="00F71170" w:rsidRPr="000A4A41" w14:paraId="77D5BCDF" w14:textId="77777777" w:rsidTr="00F301A6">
        <w:tc>
          <w:tcPr>
            <w:tcW w:w="4248" w:type="dxa"/>
          </w:tcPr>
          <w:p w14:paraId="2471CB71" w14:textId="77777777" w:rsidR="00F71170" w:rsidRPr="006C2E87" w:rsidRDefault="00F71170" w:rsidP="00F301A6">
            <w:pPr>
              <w:spacing w:line="300" w:lineRule="exact"/>
              <w:jc w:val="center"/>
              <w:rPr>
                <w:rFonts w:asciiTheme="minorHAnsi" w:hAnsiTheme="minorHAnsi" w:cstheme="minorHAnsi"/>
                <w:sz w:val="22"/>
                <w:szCs w:val="22"/>
                <w:lang w:val="nl-NL"/>
              </w:rPr>
            </w:pPr>
          </w:p>
        </w:tc>
        <w:tc>
          <w:tcPr>
            <w:tcW w:w="900" w:type="dxa"/>
          </w:tcPr>
          <w:p w14:paraId="3C966B1E" w14:textId="77777777" w:rsidR="00F71170" w:rsidRPr="006C2E87" w:rsidRDefault="00F71170" w:rsidP="00F301A6">
            <w:pPr>
              <w:spacing w:line="300" w:lineRule="exact"/>
              <w:jc w:val="both"/>
              <w:rPr>
                <w:rFonts w:asciiTheme="minorHAnsi" w:hAnsiTheme="minorHAnsi" w:cstheme="minorHAnsi"/>
                <w:sz w:val="22"/>
                <w:szCs w:val="22"/>
                <w:lang w:val="nl-NL"/>
              </w:rPr>
            </w:pPr>
          </w:p>
        </w:tc>
        <w:tc>
          <w:tcPr>
            <w:tcW w:w="4320" w:type="dxa"/>
          </w:tcPr>
          <w:p w14:paraId="71983929" w14:textId="77777777" w:rsidR="00F71170" w:rsidRPr="006C2E87" w:rsidRDefault="00F71170" w:rsidP="00F301A6">
            <w:pPr>
              <w:spacing w:line="300" w:lineRule="exact"/>
              <w:jc w:val="center"/>
              <w:rPr>
                <w:rFonts w:asciiTheme="minorHAnsi" w:hAnsiTheme="minorHAnsi" w:cstheme="minorHAnsi"/>
                <w:sz w:val="22"/>
                <w:szCs w:val="22"/>
                <w:lang w:val="nl-NL"/>
              </w:rPr>
            </w:pPr>
          </w:p>
        </w:tc>
      </w:tr>
      <w:tr w:rsidR="00F71170" w:rsidRPr="000A4A41" w14:paraId="00D60C4C" w14:textId="77777777" w:rsidTr="00F301A6">
        <w:tc>
          <w:tcPr>
            <w:tcW w:w="4248" w:type="dxa"/>
          </w:tcPr>
          <w:p w14:paraId="5DBBB544" w14:textId="77777777" w:rsidR="00F71170" w:rsidRPr="006C2E87" w:rsidRDefault="00F71170" w:rsidP="00F301A6">
            <w:pPr>
              <w:spacing w:line="300" w:lineRule="exact"/>
              <w:jc w:val="center"/>
              <w:rPr>
                <w:rFonts w:asciiTheme="minorHAnsi" w:hAnsiTheme="minorHAnsi" w:cstheme="minorHAnsi"/>
                <w:sz w:val="22"/>
                <w:szCs w:val="22"/>
                <w:lang w:val="nl-NL"/>
              </w:rPr>
            </w:pPr>
          </w:p>
        </w:tc>
        <w:tc>
          <w:tcPr>
            <w:tcW w:w="900" w:type="dxa"/>
          </w:tcPr>
          <w:p w14:paraId="0525CE18" w14:textId="77777777" w:rsidR="00F71170" w:rsidRPr="006C2E87" w:rsidRDefault="00F71170" w:rsidP="00F301A6">
            <w:pPr>
              <w:spacing w:line="300" w:lineRule="exact"/>
              <w:jc w:val="both"/>
              <w:rPr>
                <w:rFonts w:asciiTheme="minorHAnsi" w:hAnsiTheme="minorHAnsi" w:cstheme="minorHAnsi"/>
                <w:sz w:val="22"/>
                <w:szCs w:val="22"/>
                <w:lang w:val="nl-NL"/>
              </w:rPr>
            </w:pPr>
          </w:p>
        </w:tc>
        <w:tc>
          <w:tcPr>
            <w:tcW w:w="4320" w:type="dxa"/>
          </w:tcPr>
          <w:p w14:paraId="166020C6" w14:textId="77777777" w:rsidR="00F71170" w:rsidRPr="006C2E87" w:rsidRDefault="00F71170" w:rsidP="00F301A6">
            <w:pPr>
              <w:spacing w:line="300" w:lineRule="exact"/>
              <w:jc w:val="center"/>
              <w:rPr>
                <w:rFonts w:asciiTheme="minorHAnsi" w:hAnsiTheme="minorHAnsi" w:cstheme="minorHAnsi"/>
                <w:sz w:val="22"/>
                <w:szCs w:val="22"/>
                <w:lang w:val="nl-NL"/>
              </w:rPr>
            </w:pPr>
          </w:p>
        </w:tc>
      </w:tr>
      <w:tr w:rsidR="00F71170" w:rsidRPr="000A4A41" w14:paraId="3F969A38" w14:textId="77777777" w:rsidTr="00F301A6">
        <w:tc>
          <w:tcPr>
            <w:tcW w:w="4248" w:type="dxa"/>
            <w:hideMark/>
          </w:tcPr>
          <w:p w14:paraId="2EA27436" w14:textId="77777777" w:rsidR="00F71170" w:rsidRPr="006C2E87" w:rsidRDefault="00F71170" w:rsidP="00F301A6">
            <w:pPr>
              <w:spacing w:line="300" w:lineRule="exact"/>
              <w:jc w:val="center"/>
              <w:rPr>
                <w:rFonts w:asciiTheme="minorHAnsi" w:hAnsiTheme="minorHAnsi" w:cstheme="minorHAnsi"/>
                <w:sz w:val="22"/>
                <w:szCs w:val="22"/>
              </w:rPr>
            </w:pPr>
            <w:r w:rsidRPr="006C2E87">
              <w:rPr>
                <w:rFonts w:asciiTheme="minorHAnsi" w:hAnsiTheme="minorHAnsi" w:cstheme="minorHAnsi"/>
                <w:sz w:val="22"/>
                <w:szCs w:val="22"/>
              </w:rPr>
              <w:t>____________________</w:t>
            </w:r>
          </w:p>
        </w:tc>
        <w:tc>
          <w:tcPr>
            <w:tcW w:w="900" w:type="dxa"/>
          </w:tcPr>
          <w:p w14:paraId="295102BA" w14:textId="77777777" w:rsidR="00F71170" w:rsidRPr="006C2E87" w:rsidRDefault="00F71170" w:rsidP="00F301A6">
            <w:pPr>
              <w:spacing w:line="300" w:lineRule="exact"/>
              <w:jc w:val="both"/>
              <w:rPr>
                <w:rFonts w:asciiTheme="minorHAnsi" w:hAnsiTheme="minorHAnsi" w:cstheme="minorHAnsi"/>
                <w:sz w:val="22"/>
                <w:szCs w:val="22"/>
              </w:rPr>
            </w:pPr>
          </w:p>
        </w:tc>
        <w:tc>
          <w:tcPr>
            <w:tcW w:w="4320" w:type="dxa"/>
            <w:hideMark/>
          </w:tcPr>
          <w:p w14:paraId="23E26703" w14:textId="77777777" w:rsidR="00F71170" w:rsidRPr="006C2E87" w:rsidRDefault="00F71170" w:rsidP="00F301A6">
            <w:pPr>
              <w:spacing w:line="300" w:lineRule="exact"/>
              <w:jc w:val="center"/>
              <w:rPr>
                <w:rFonts w:asciiTheme="minorHAnsi" w:hAnsiTheme="minorHAnsi" w:cstheme="minorHAnsi"/>
                <w:sz w:val="22"/>
                <w:szCs w:val="22"/>
              </w:rPr>
            </w:pPr>
            <w:r w:rsidRPr="006C2E87">
              <w:rPr>
                <w:rFonts w:asciiTheme="minorHAnsi" w:hAnsiTheme="minorHAnsi" w:cstheme="minorHAnsi"/>
                <w:sz w:val="22"/>
                <w:szCs w:val="22"/>
              </w:rPr>
              <w:t>____________________</w:t>
            </w:r>
          </w:p>
        </w:tc>
      </w:tr>
      <w:tr w:rsidR="00F71170" w:rsidRPr="001921A1" w14:paraId="77E0733F" w14:textId="77777777" w:rsidTr="00F301A6">
        <w:tc>
          <w:tcPr>
            <w:tcW w:w="4248" w:type="dxa"/>
          </w:tcPr>
          <w:p w14:paraId="0FA73A6A" w14:textId="77777777" w:rsidR="00F71170" w:rsidRPr="006C2E87" w:rsidRDefault="00F71170" w:rsidP="00F301A6">
            <w:pPr>
              <w:spacing w:line="300" w:lineRule="exact"/>
              <w:jc w:val="center"/>
              <w:rPr>
                <w:rFonts w:asciiTheme="minorHAnsi" w:hAnsiTheme="minorHAnsi" w:cstheme="minorHAnsi"/>
                <w:sz w:val="22"/>
                <w:szCs w:val="22"/>
                <w:lang w:val="fr-BE"/>
              </w:rPr>
            </w:pPr>
            <w:r w:rsidRPr="006C2E87">
              <w:rPr>
                <w:rFonts w:asciiTheme="minorHAnsi" w:hAnsiTheme="minorHAnsi" w:cstheme="minorHAnsi"/>
                <w:sz w:val="22"/>
                <w:szCs w:val="22"/>
              </w:rPr>
              <w:t>Peter Cauwels</w:t>
            </w:r>
          </w:p>
        </w:tc>
        <w:tc>
          <w:tcPr>
            <w:tcW w:w="900" w:type="dxa"/>
          </w:tcPr>
          <w:p w14:paraId="1D78AB0F" w14:textId="77777777" w:rsidR="00F71170" w:rsidRPr="006C2E87" w:rsidRDefault="00F71170" w:rsidP="00F301A6">
            <w:pPr>
              <w:spacing w:line="300" w:lineRule="exact"/>
              <w:jc w:val="both"/>
              <w:rPr>
                <w:rFonts w:asciiTheme="minorHAnsi" w:hAnsiTheme="minorHAnsi" w:cstheme="minorHAnsi"/>
                <w:sz w:val="22"/>
                <w:szCs w:val="22"/>
                <w:lang w:val="fr-BE"/>
              </w:rPr>
            </w:pPr>
          </w:p>
        </w:tc>
        <w:tc>
          <w:tcPr>
            <w:tcW w:w="4320" w:type="dxa"/>
          </w:tcPr>
          <w:p w14:paraId="39471AEB" w14:textId="77777777" w:rsidR="00F71170" w:rsidRPr="006C2E87" w:rsidRDefault="00F71170" w:rsidP="00F301A6">
            <w:pPr>
              <w:spacing w:line="300" w:lineRule="exact"/>
              <w:jc w:val="center"/>
              <w:rPr>
                <w:rFonts w:asciiTheme="minorHAnsi" w:hAnsiTheme="minorHAnsi" w:cstheme="minorHAnsi"/>
                <w:sz w:val="22"/>
                <w:szCs w:val="22"/>
                <w:lang w:val="fr-BE"/>
              </w:rPr>
            </w:pPr>
            <w:r w:rsidRPr="006C2E87">
              <w:rPr>
                <w:rFonts w:asciiTheme="minorHAnsi" w:hAnsiTheme="minorHAnsi" w:cstheme="minorHAnsi"/>
                <w:sz w:val="22"/>
                <w:szCs w:val="22"/>
                <w:lang w:val="fr-BE"/>
              </w:rPr>
              <w:t>Jean de Leu de Cecil</w:t>
            </w:r>
          </w:p>
        </w:tc>
      </w:tr>
      <w:tr w:rsidR="00F71170" w:rsidRPr="0001222B" w14:paraId="4FA03FF3" w14:textId="77777777" w:rsidTr="00F301A6">
        <w:tc>
          <w:tcPr>
            <w:tcW w:w="4248" w:type="dxa"/>
          </w:tcPr>
          <w:p w14:paraId="78B23BD5" w14:textId="77777777" w:rsidR="00F71170" w:rsidRPr="006C2E87" w:rsidRDefault="00F71170" w:rsidP="00F301A6">
            <w:pPr>
              <w:spacing w:line="300" w:lineRule="exact"/>
              <w:jc w:val="center"/>
              <w:rPr>
                <w:rFonts w:asciiTheme="minorHAnsi" w:hAnsiTheme="minorHAnsi" w:cstheme="minorHAnsi"/>
                <w:sz w:val="22"/>
                <w:szCs w:val="22"/>
                <w:lang w:val="fr-BE"/>
              </w:rPr>
            </w:pPr>
            <w:r w:rsidRPr="006C2E87">
              <w:rPr>
                <w:rFonts w:asciiTheme="minorHAnsi" w:hAnsiTheme="minorHAnsi" w:cstheme="minorHAnsi"/>
                <w:sz w:val="22"/>
                <w:szCs w:val="22"/>
              </w:rPr>
              <w:t>bestuurder</w:t>
            </w:r>
          </w:p>
        </w:tc>
        <w:tc>
          <w:tcPr>
            <w:tcW w:w="900" w:type="dxa"/>
          </w:tcPr>
          <w:p w14:paraId="68AE55A2" w14:textId="77777777" w:rsidR="00F71170" w:rsidRPr="006C2E87" w:rsidRDefault="00F71170" w:rsidP="00F301A6">
            <w:pPr>
              <w:spacing w:line="300" w:lineRule="exact"/>
              <w:jc w:val="both"/>
              <w:rPr>
                <w:rFonts w:asciiTheme="minorHAnsi" w:hAnsiTheme="minorHAnsi" w:cstheme="minorHAnsi"/>
                <w:sz w:val="22"/>
                <w:szCs w:val="22"/>
                <w:lang w:val="fr-BE"/>
              </w:rPr>
            </w:pPr>
          </w:p>
        </w:tc>
        <w:tc>
          <w:tcPr>
            <w:tcW w:w="4320" w:type="dxa"/>
          </w:tcPr>
          <w:p w14:paraId="0318206A" w14:textId="77777777" w:rsidR="00F71170" w:rsidRPr="006C2E87" w:rsidRDefault="00F71170" w:rsidP="00F301A6">
            <w:pPr>
              <w:spacing w:line="300" w:lineRule="exact"/>
              <w:jc w:val="center"/>
              <w:rPr>
                <w:rFonts w:asciiTheme="minorHAnsi" w:hAnsiTheme="minorHAnsi" w:cstheme="minorHAnsi"/>
                <w:sz w:val="22"/>
                <w:szCs w:val="22"/>
                <w:lang w:val="fr-BE"/>
              </w:rPr>
            </w:pPr>
            <w:r w:rsidRPr="006C2E87">
              <w:rPr>
                <w:rFonts w:asciiTheme="minorHAnsi" w:hAnsiTheme="minorHAnsi" w:cstheme="minorHAnsi"/>
                <w:sz w:val="22"/>
                <w:szCs w:val="22"/>
              </w:rPr>
              <w:t>bestuurder</w:t>
            </w:r>
          </w:p>
        </w:tc>
      </w:tr>
      <w:tr w:rsidR="00F71170" w:rsidRPr="0001222B" w14:paraId="2559A5F2" w14:textId="77777777" w:rsidTr="00F301A6">
        <w:tc>
          <w:tcPr>
            <w:tcW w:w="4248" w:type="dxa"/>
          </w:tcPr>
          <w:p w14:paraId="51C22505" w14:textId="77777777" w:rsidR="00F71170" w:rsidRPr="006C2E87" w:rsidRDefault="00F71170" w:rsidP="00F301A6">
            <w:pPr>
              <w:spacing w:line="300" w:lineRule="exact"/>
              <w:jc w:val="center"/>
              <w:rPr>
                <w:rFonts w:asciiTheme="minorHAnsi" w:hAnsiTheme="minorHAnsi" w:cstheme="minorHAnsi"/>
                <w:sz w:val="22"/>
                <w:szCs w:val="22"/>
                <w:lang w:val="fr-BE"/>
              </w:rPr>
            </w:pPr>
          </w:p>
        </w:tc>
        <w:tc>
          <w:tcPr>
            <w:tcW w:w="900" w:type="dxa"/>
          </w:tcPr>
          <w:p w14:paraId="20131632" w14:textId="77777777" w:rsidR="00F71170" w:rsidRPr="006C2E87" w:rsidRDefault="00F71170" w:rsidP="00F301A6">
            <w:pPr>
              <w:spacing w:line="300" w:lineRule="exact"/>
              <w:jc w:val="both"/>
              <w:rPr>
                <w:rFonts w:asciiTheme="minorHAnsi" w:hAnsiTheme="minorHAnsi" w:cstheme="minorHAnsi"/>
                <w:sz w:val="22"/>
                <w:szCs w:val="22"/>
                <w:lang w:val="fr-BE"/>
              </w:rPr>
            </w:pPr>
          </w:p>
        </w:tc>
        <w:tc>
          <w:tcPr>
            <w:tcW w:w="4320" w:type="dxa"/>
          </w:tcPr>
          <w:p w14:paraId="17474CCA" w14:textId="77777777" w:rsidR="00F71170" w:rsidRPr="006C2E87" w:rsidRDefault="00F71170" w:rsidP="00F301A6">
            <w:pPr>
              <w:spacing w:line="300" w:lineRule="exact"/>
              <w:jc w:val="center"/>
              <w:rPr>
                <w:rFonts w:asciiTheme="minorHAnsi" w:hAnsiTheme="minorHAnsi" w:cstheme="minorHAnsi"/>
                <w:sz w:val="22"/>
                <w:szCs w:val="22"/>
                <w:lang w:val="fr-BE"/>
              </w:rPr>
            </w:pPr>
          </w:p>
        </w:tc>
      </w:tr>
      <w:tr w:rsidR="00F71170" w:rsidRPr="0001222B" w14:paraId="3A1E0A4F" w14:textId="77777777" w:rsidTr="00F301A6">
        <w:tc>
          <w:tcPr>
            <w:tcW w:w="4248" w:type="dxa"/>
          </w:tcPr>
          <w:p w14:paraId="7B3FF01B" w14:textId="77777777" w:rsidR="00F71170" w:rsidRPr="006C2E87" w:rsidRDefault="00F71170" w:rsidP="00F301A6">
            <w:pPr>
              <w:spacing w:line="300" w:lineRule="exact"/>
              <w:jc w:val="center"/>
              <w:rPr>
                <w:rFonts w:asciiTheme="minorHAnsi" w:hAnsiTheme="minorHAnsi" w:cstheme="minorHAnsi"/>
                <w:sz w:val="22"/>
                <w:szCs w:val="22"/>
                <w:lang w:val="fr-BE"/>
              </w:rPr>
            </w:pPr>
          </w:p>
        </w:tc>
        <w:tc>
          <w:tcPr>
            <w:tcW w:w="900" w:type="dxa"/>
          </w:tcPr>
          <w:p w14:paraId="5EEB28AE" w14:textId="77777777" w:rsidR="00F71170" w:rsidRPr="006C2E87" w:rsidRDefault="00F71170" w:rsidP="00F301A6">
            <w:pPr>
              <w:spacing w:line="300" w:lineRule="exact"/>
              <w:jc w:val="both"/>
              <w:rPr>
                <w:rFonts w:asciiTheme="minorHAnsi" w:hAnsiTheme="minorHAnsi" w:cstheme="minorHAnsi"/>
                <w:sz w:val="22"/>
                <w:szCs w:val="22"/>
                <w:lang w:val="fr-BE"/>
              </w:rPr>
            </w:pPr>
          </w:p>
        </w:tc>
        <w:tc>
          <w:tcPr>
            <w:tcW w:w="4320" w:type="dxa"/>
          </w:tcPr>
          <w:p w14:paraId="7E847233" w14:textId="77777777" w:rsidR="00F71170" w:rsidRPr="006C2E87" w:rsidRDefault="00F71170" w:rsidP="00F301A6">
            <w:pPr>
              <w:spacing w:line="300" w:lineRule="exact"/>
              <w:jc w:val="center"/>
              <w:rPr>
                <w:rFonts w:asciiTheme="minorHAnsi" w:hAnsiTheme="minorHAnsi" w:cstheme="minorHAnsi"/>
                <w:sz w:val="22"/>
                <w:szCs w:val="22"/>
                <w:lang w:val="fr-BE"/>
              </w:rPr>
            </w:pPr>
          </w:p>
        </w:tc>
      </w:tr>
      <w:tr w:rsidR="00F71170" w:rsidRPr="0001222B" w14:paraId="6099EF98" w14:textId="77777777" w:rsidTr="00F301A6">
        <w:tc>
          <w:tcPr>
            <w:tcW w:w="4248" w:type="dxa"/>
          </w:tcPr>
          <w:p w14:paraId="2D7E553D" w14:textId="77777777" w:rsidR="00F71170" w:rsidRPr="006C2E87" w:rsidRDefault="00F71170" w:rsidP="00F301A6">
            <w:pPr>
              <w:spacing w:line="300" w:lineRule="exact"/>
              <w:jc w:val="center"/>
              <w:rPr>
                <w:rFonts w:asciiTheme="minorHAnsi" w:hAnsiTheme="minorHAnsi" w:cstheme="minorHAnsi"/>
                <w:sz w:val="22"/>
                <w:szCs w:val="22"/>
                <w:lang w:val="fr-BE"/>
              </w:rPr>
            </w:pPr>
          </w:p>
        </w:tc>
        <w:tc>
          <w:tcPr>
            <w:tcW w:w="900" w:type="dxa"/>
          </w:tcPr>
          <w:p w14:paraId="6298C526" w14:textId="77777777" w:rsidR="00F71170" w:rsidRPr="006C2E87" w:rsidRDefault="00F71170" w:rsidP="00F301A6">
            <w:pPr>
              <w:spacing w:line="300" w:lineRule="exact"/>
              <w:jc w:val="both"/>
              <w:rPr>
                <w:rFonts w:asciiTheme="minorHAnsi" w:hAnsiTheme="minorHAnsi" w:cstheme="minorHAnsi"/>
                <w:sz w:val="22"/>
                <w:szCs w:val="22"/>
                <w:lang w:val="fr-BE"/>
              </w:rPr>
            </w:pPr>
          </w:p>
        </w:tc>
        <w:tc>
          <w:tcPr>
            <w:tcW w:w="4320" w:type="dxa"/>
          </w:tcPr>
          <w:p w14:paraId="19D0214B" w14:textId="77777777" w:rsidR="00F71170" w:rsidRPr="006C2E87" w:rsidRDefault="00F71170" w:rsidP="00F301A6">
            <w:pPr>
              <w:spacing w:line="300" w:lineRule="exact"/>
              <w:jc w:val="center"/>
              <w:rPr>
                <w:rFonts w:asciiTheme="minorHAnsi" w:hAnsiTheme="minorHAnsi" w:cstheme="minorHAnsi"/>
                <w:sz w:val="22"/>
                <w:szCs w:val="22"/>
                <w:lang w:val="fr-BE"/>
              </w:rPr>
            </w:pPr>
          </w:p>
        </w:tc>
      </w:tr>
      <w:tr w:rsidR="00F71170" w:rsidRPr="0001222B" w14:paraId="7DF9D9F4" w14:textId="77777777" w:rsidTr="00F301A6">
        <w:tc>
          <w:tcPr>
            <w:tcW w:w="4248" w:type="dxa"/>
          </w:tcPr>
          <w:p w14:paraId="0C8980A6" w14:textId="77777777" w:rsidR="00F71170" w:rsidRPr="006C2E87" w:rsidRDefault="00F71170" w:rsidP="00F301A6">
            <w:pPr>
              <w:spacing w:line="300" w:lineRule="exact"/>
              <w:jc w:val="center"/>
              <w:rPr>
                <w:rFonts w:asciiTheme="minorHAnsi" w:hAnsiTheme="minorHAnsi" w:cstheme="minorHAnsi"/>
                <w:sz w:val="22"/>
                <w:szCs w:val="22"/>
                <w:lang w:val="fr-BE"/>
              </w:rPr>
            </w:pPr>
          </w:p>
        </w:tc>
        <w:tc>
          <w:tcPr>
            <w:tcW w:w="900" w:type="dxa"/>
          </w:tcPr>
          <w:p w14:paraId="12191F66" w14:textId="77777777" w:rsidR="00F71170" w:rsidRPr="006C2E87" w:rsidRDefault="00F71170" w:rsidP="00F301A6">
            <w:pPr>
              <w:spacing w:line="300" w:lineRule="exact"/>
              <w:jc w:val="both"/>
              <w:rPr>
                <w:rFonts w:asciiTheme="minorHAnsi" w:hAnsiTheme="minorHAnsi" w:cstheme="minorHAnsi"/>
                <w:sz w:val="22"/>
                <w:szCs w:val="22"/>
                <w:lang w:val="fr-BE"/>
              </w:rPr>
            </w:pPr>
          </w:p>
        </w:tc>
        <w:tc>
          <w:tcPr>
            <w:tcW w:w="4320" w:type="dxa"/>
          </w:tcPr>
          <w:p w14:paraId="68D63D48" w14:textId="77777777" w:rsidR="00F71170" w:rsidRPr="006C2E87" w:rsidRDefault="00F71170" w:rsidP="00F301A6">
            <w:pPr>
              <w:spacing w:line="300" w:lineRule="exact"/>
              <w:jc w:val="center"/>
              <w:rPr>
                <w:rFonts w:asciiTheme="minorHAnsi" w:hAnsiTheme="minorHAnsi" w:cstheme="minorHAnsi"/>
                <w:sz w:val="22"/>
                <w:szCs w:val="22"/>
                <w:lang w:val="fr-BE"/>
              </w:rPr>
            </w:pPr>
          </w:p>
        </w:tc>
      </w:tr>
      <w:tr w:rsidR="00F71170" w:rsidRPr="0001222B" w14:paraId="6B1A187A" w14:textId="77777777" w:rsidTr="00F301A6">
        <w:tc>
          <w:tcPr>
            <w:tcW w:w="4248" w:type="dxa"/>
          </w:tcPr>
          <w:p w14:paraId="752B6DEF" w14:textId="77777777" w:rsidR="00F71170" w:rsidRPr="006C2E87" w:rsidRDefault="00F71170" w:rsidP="00F301A6">
            <w:pPr>
              <w:spacing w:line="300" w:lineRule="exact"/>
              <w:jc w:val="center"/>
              <w:rPr>
                <w:rFonts w:asciiTheme="minorHAnsi" w:hAnsiTheme="minorHAnsi" w:cstheme="minorHAnsi"/>
                <w:sz w:val="22"/>
                <w:szCs w:val="22"/>
                <w:lang w:val="fr-BE"/>
              </w:rPr>
            </w:pPr>
          </w:p>
        </w:tc>
        <w:tc>
          <w:tcPr>
            <w:tcW w:w="900" w:type="dxa"/>
          </w:tcPr>
          <w:p w14:paraId="1E255340" w14:textId="77777777" w:rsidR="00F71170" w:rsidRPr="006C2E87" w:rsidRDefault="00F71170" w:rsidP="00F301A6">
            <w:pPr>
              <w:spacing w:line="300" w:lineRule="exact"/>
              <w:jc w:val="both"/>
              <w:rPr>
                <w:rFonts w:asciiTheme="minorHAnsi" w:hAnsiTheme="minorHAnsi" w:cstheme="minorHAnsi"/>
                <w:sz w:val="22"/>
                <w:szCs w:val="22"/>
                <w:lang w:val="fr-BE"/>
              </w:rPr>
            </w:pPr>
          </w:p>
        </w:tc>
        <w:tc>
          <w:tcPr>
            <w:tcW w:w="4320" w:type="dxa"/>
          </w:tcPr>
          <w:p w14:paraId="18F7879C" w14:textId="77777777" w:rsidR="00F71170" w:rsidRPr="006C2E87" w:rsidRDefault="00F71170" w:rsidP="00F301A6">
            <w:pPr>
              <w:spacing w:line="300" w:lineRule="exact"/>
              <w:jc w:val="center"/>
              <w:rPr>
                <w:rFonts w:asciiTheme="minorHAnsi" w:hAnsiTheme="minorHAnsi" w:cstheme="minorHAnsi"/>
                <w:sz w:val="22"/>
                <w:szCs w:val="22"/>
                <w:lang w:val="fr-BE"/>
              </w:rPr>
            </w:pPr>
          </w:p>
        </w:tc>
      </w:tr>
      <w:tr w:rsidR="00F71170" w:rsidRPr="0001222B" w14:paraId="3B4B90C6" w14:textId="77777777" w:rsidTr="00F301A6">
        <w:tc>
          <w:tcPr>
            <w:tcW w:w="4248" w:type="dxa"/>
          </w:tcPr>
          <w:p w14:paraId="6329F1FC" w14:textId="77777777" w:rsidR="00F71170" w:rsidRPr="006C2E87" w:rsidRDefault="00F71170" w:rsidP="00F301A6">
            <w:pPr>
              <w:spacing w:line="300" w:lineRule="exact"/>
              <w:jc w:val="center"/>
              <w:rPr>
                <w:rFonts w:asciiTheme="minorHAnsi" w:hAnsiTheme="minorHAnsi" w:cstheme="minorHAnsi"/>
                <w:sz w:val="22"/>
                <w:szCs w:val="22"/>
                <w:lang w:val="fr-BE"/>
              </w:rPr>
            </w:pPr>
          </w:p>
        </w:tc>
        <w:tc>
          <w:tcPr>
            <w:tcW w:w="900" w:type="dxa"/>
          </w:tcPr>
          <w:p w14:paraId="5B353F84" w14:textId="77777777" w:rsidR="00F71170" w:rsidRPr="006C2E87" w:rsidRDefault="00F71170" w:rsidP="00F301A6">
            <w:pPr>
              <w:spacing w:line="300" w:lineRule="exact"/>
              <w:jc w:val="both"/>
              <w:rPr>
                <w:rFonts w:asciiTheme="minorHAnsi" w:hAnsiTheme="minorHAnsi" w:cstheme="minorHAnsi"/>
                <w:sz w:val="22"/>
                <w:szCs w:val="22"/>
                <w:lang w:val="fr-BE"/>
              </w:rPr>
            </w:pPr>
          </w:p>
        </w:tc>
        <w:tc>
          <w:tcPr>
            <w:tcW w:w="4320" w:type="dxa"/>
          </w:tcPr>
          <w:p w14:paraId="24D2852B" w14:textId="77777777" w:rsidR="00F71170" w:rsidRPr="006C2E87" w:rsidRDefault="00F71170" w:rsidP="00F301A6">
            <w:pPr>
              <w:spacing w:line="300" w:lineRule="exact"/>
              <w:jc w:val="center"/>
              <w:rPr>
                <w:rFonts w:asciiTheme="minorHAnsi" w:hAnsiTheme="minorHAnsi" w:cstheme="minorHAnsi"/>
                <w:sz w:val="22"/>
                <w:szCs w:val="22"/>
                <w:lang w:val="fr-BE"/>
              </w:rPr>
            </w:pPr>
          </w:p>
        </w:tc>
      </w:tr>
      <w:tr w:rsidR="00F71170" w:rsidRPr="0001222B" w14:paraId="44BF4778" w14:textId="77777777" w:rsidTr="00F301A6">
        <w:tc>
          <w:tcPr>
            <w:tcW w:w="4248" w:type="dxa"/>
          </w:tcPr>
          <w:p w14:paraId="5CFDC0B6" w14:textId="77777777" w:rsidR="00F71170" w:rsidRPr="006C2E87" w:rsidRDefault="00F71170" w:rsidP="00F301A6">
            <w:pPr>
              <w:spacing w:line="300" w:lineRule="exact"/>
              <w:jc w:val="center"/>
              <w:rPr>
                <w:rFonts w:asciiTheme="minorHAnsi" w:hAnsiTheme="minorHAnsi" w:cstheme="minorHAnsi"/>
                <w:sz w:val="22"/>
                <w:szCs w:val="22"/>
                <w:lang w:val="fr-BE"/>
              </w:rPr>
            </w:pPr>
          </w:p>
        </w:tc>
        <w:tc>
          <w:tcPr>
            <w:tcW w:w="900" w:type="dxa"/>
          </w:tcPr>
          <w:p w14:paraId="0DD6FC95" w14:textId="77777777" w:rsidR="00F71170" w:rsidRPr="006C2E87" w:rsidRDefault="00F71170" w:rsidP="00F301A6">
            <w:pPr>
              <w:spacing w:line="300" w:lineRule="exact"/>
              <w:jc w:val="both"/>
              <w:rPr>
                <w:rFonts w:asciiTheme="minorHAnsi" w:hAnsiTheme="minorHAnsi" w:cstheme="minorHAnsi"/>
                <w:sz w:val="22"/>
                <w:szCs w:val="22"/>
                <w:lang w:val="fr-BE"/>
              </w:rPr>
            </w:pPr>
          </w:p>
        </w:tc>
        <w:tc>
          <w:tcPr>
            <w:tcW w:w="4320" w:type="dxa"/>
          </w:tcPr>
          <w:p w14:paraId="0BA49A47" w14:textId="77777777" w:rsidR="00F71170" w:rsidRPr="006C2E87" w:rsidRDefault="00F71170" w:rsidP="00F301A6">
            <w:pPr>
              <w:spacing w:line="300" w:lineRule="exact"/>
              <w:jc w:val="center"/>
              <w:rPr>
                <w:rFonts w:asciiTheme="minorHAnsi" w:hAnsiTheme="minorHAnsi" w:cstheme="minorHAnsi"/>
                <w:sz w:val="22"/>
                <w:szCs w:val="22"/>
                <w:lang w:val="fr-BE"/>
              </w:rPr>
            </w:pPr>
          </w:p>
        </w:tc>
      </w:tr>
      <w:tr w:rsidR="00F71170" w:rsidRPr="000A4A41" w14:paraId="5B08920B" w14:textId="77777777" w:rsidTr="00F301A6">
        <w:tc>
          <w:tcPr>
            <w:tcW w:w="4248" w:type="dxa"/>
          </w:tcPr>
          <w:p w14:paraId="7925B0D7" w14:textId="77777777" w:rsidR="00F71170" w:rsidRPr="006C2E87" w:rsidRDefault="00F71170" w:rsidP="00F301A6">
            <w:pPr>
              <w:spacing w:line="300" w:lineRule="exact"/>
              <w:jc w:val="center"/>
              <w:rPr>
                <w:rFonts w:asciiTheme="minorHAnsi" w:hAnsiTheme="minorHAnsi" w:cstheme="minorHAnsi"/>
                <w:sz w:val="22"/>
                <w:szCs w:val="22"/>
              </w:rPr>
            </w:pPr>
            <w:r w:rsidRPr="006C2E87">
              <w:rPr>
                <w:rFonts w:asciiTheme="minorHAnsi" w:hAnsiTheme="minorHAnsi" w:cstheme="minorHAnsi"/>
                <w:sz w:val="22"/>
                <w:szCs w:val="22"/>
              </w:rPr>
              <w:t>____________________</w:t>
            </w:r>
          </w:p>
        </w:tc>
        <w:tc>
          <w:tcPr>
            <w:tcW w:w="900" w:type="dxa"/>
          </w:tcPr>
          <w:p w14:paraId="35FE17AD" w14:textId="77777777" w:rsidR="00F71170" w:rsidRPr="006C2E87" w:rsidRDefault="00F71170" w:rsidP="00F301A6">
            <w:pPr>
              <w:spacing w:line="300" w:lineRule="exact"/>
              <w:jc w:val="both"/>
              <w:rPr>
                <w:rFonts w:asciiTheme="minorHAnsi" w:hAnsiTheme="minorHAnsi" w:cstheme="minorHAnsi"/>
                <w:sz w:val="22"/>
                <w:szCs w:val="22"/>
              </w:rPr>
            </w:pPr>
          </w:p>
        </w:tc>
        <w:tc>
          <w:tcPr>
            <w:tcW w:w="4320" w:type="dxa"/>
          </w:tcPr>
          <w:p w14:paraId="6FDF0D27" w14:textId="77777777" w:rsidR="00F71170" w:rsidRPr="006C2E87" w:rsidRDefault="00F71170" w:rsidP="00F301A6">
            <w:pPr>
              <w:spacing w:line="300" w:lineRule="exact"/>
              <w:jc w:val="center"/>
              <w:rPr>
                <w:rFonts w:asciiTheme="minorHAnsi" w:hAnsiTheme="minorHAnsi" w:cstheme="minorHAnsi"/>
                <w:sz w:val="22"/>
                <w:szCs w:val="22"/>
                <w:lang w:val="nl-NL"/>
              </w:rPr>
            </w:pPr>
            <w:r w:rsidRPr="006C2E87">
              <w:rPr>
                <w:rFonts w:asciiTheme="minorHAnsi" w:hAnsiTheme="minorHAnsi" w:cstheme="minorHAnsi"/>
                <w:sz w:val="22"/>
                <w:szCs w:val="22"/>
              </w:rPr>
              <w:t>____________________</w:t>
            </w:r>
          </w:p>
        </w:tc>
      </w:tr>
      <w:tr w:rsidR="00F71170" w:rsidRPr="000A4A41" w14:paraId="63DD8851" w14:textId="77777777" w:rsidTr="00F301A6">
        <w:tc>
          <w:tcPr>
            <w:tcW w:w="4248" w:type="dxa"/>
          </w:tcPr>
          <w:p w14:paraId="72D79A04" w14:textId="7EE228BC" w:rsidR="00F71170" w:rsidRPr="006C2E87" w:rsidRDefault="00BB0DD4" w:rsidP="00F301A6">
            <w:pPr>
              <w:spacing w:line="300" w:lineRule="exact"/>
              <w:jc w:val="center"/>
              <w:rPr>
                <w:rFonts w:asciiTheme="minorHAnsi" w:hAnsiTheme="minorHAnsi" w:cstheme="minorHAnsi"/>
                <w:sz w:val="22"/>
                <w:szCs w:val="22"/>
              </w:rPr>
            </w:pPr>
            <w:r>
              <w:rPr>
                <w:rFonts w:asciiTheme="minorHAnsi" w:hAnsiTheme="minorHAnsi" w:cstheme="minorHAnsi"/>
                <w:sz w:val="22"/>
                <w:szCs w:val="22"/>
                <w:lang w:val="fr-BE"/>
              </w:rPr>
              <w:t xml:space="preserve">Maria </w:t>
            </w:r>
            <w:r w:rsidR="0076528D">
              <w:rPr>
                <w:rFonts w:asciiTheme="minorHAnsi" w:hAnsiTheme="minorHAnsi" w:cstheme="minorHAnsi"/>
                <w:sz w:val="22"/>
                <w:szCs w:val="22"/>
                <w:lang w:val="fr-BE"/>
              </w:rPr>
              <w:t>Sordo-</w:t>
            </w:r>
            <w:r>
              <w:rPr>
                <w:rFonts w:asciiTheme="minorHAnsi" w:hAnsiTheme="minorHAnsi" w:cstheme="minorHAnsi"/>
                <w:sz w:val="22"/>
                <w:szCs w:val="22"/>
                <w:lang w:val="fr-BE"/>
              </w:rPr>
              <w:t>De Cock</w:t>
            </w:r>
          </w:p>
        </w:tc>
        <w:tc>
          <w:tcPr>
            <w:tcW w:w="900" w:type="dxa"/>
          </w:tcPr>
          <w:p w14:paraId="543C8C7B" w14:textId="77777777" w:rsidR="00F71170" w:rsidRPr="006C2E87" w:rsidRDefault="00F71170" w:rsidP="00F301A6">
            <w:pPr>
              <w:spacing w:line="300" w:lineRule="exact"/>
              <w:jc w:val="both"/>
              <w:rPr>
                <w:rFonts w:asciiTheme="minorHAnsi" w:hAnsiTheme="minorHAnsi" w:cstheme="minorHAnsi"/>
                <w:sz w:val="22"/>
                <w:szCs w:val="22"/>
              </w:rPr>
            </w:pPr>
          </w:p>
        </w:tc>
        <w:tc>
          <w:tcPr>
            <w:tcW w:w="4320" w:type="dxa"/>
          </w:tcPr>
          <w:p w14:paraId="31E61C6E" w14:textId="77777777" w:rsidR="00F71170" w:rsidRPr="006C2E87" w:rsidRDefault="00F71170" w:rsidP="00F301A6">
            <w:pPr>
              <w:spacing w:line="300" w:lineRule="exact"/>
              <w:jc w:val="center"/>
              <w:rPr>
                <w:rFonts w:asciiTheme="minorHAnsi" w:hAnsiTheme="minorHAnsi" w:cstheme="minorHAnsi"/>
                <w:sz w:val="22"/>
                <w:szCs w:val="22"/>
                <w:lang w:val="nl-NL"/>
              </w:rPr>
            </w:pPr>
            <w:r w:rsidRPr="006C2E87">
              <w:rPr>
                <w:rFonts w:asciiTheme="minorHAnsi" w:hAnsiTheme="minorHAnsi" w:cstheme="minorHAnsi"/>
                <w:sz w:val="22"/>
                <w:szCs w:val="22"/>
              </w:rPr>
              <w:t>Maaike Ortibus</w:t>
            </w:r>
          </w:p>
        </w:tc>
      </w:tr>
      <w:tr w:rsidR="00F71170" w:rsidRPr="000A4A41" w14:paraId="602DF329" w14:textId="77777777" w:rsidTr="00F301A6">
        <w:tc>
          <w:tcPr>
            <w:tcW w:w="4248" w:type="dxa"/>
          </w:tcPr>
          <w:p w14:paraId="44C37BE5" w14:textId="5F2A1447" w:rsidR="00F71170" w:rsidRPr="006C2E87" w:rsidRDefault="00F71170" w:rsidP="00F301A6">
            <w:pPr>
              <w:spacing w:line="300" w:lineRule="exact"/>
              <w:jc w:val="center"/>
              <w:rPr>
                <w:rFonts w:asciiTheme="minorHAnsi" w:hAnsiTheme="minorHAnsi" w:cstheme="minorHAnsi"/>
                <w:sz w:val="22"/>
                <w:szCs w:val="22"/>
              </w:rPr>
            </w:pPr>
            <w:r w:rsidRPr="006C2E87">
              <w:rPr>
                <w:rFonts w:asciiTheme="minorHAnsi" w:hAnsiTheme="minorHAnsi" w:cstheme="minorHAnsi"/>
                <w:sz w:val="22"/>
                <w:szCs w:val="22"/>
              </w:rPr>
              <w:t>bestuurder</w:t>
            </w:r>
          </w:p>
        </w:tc>
        <w:tc>
          <w:tcPr>
            <w:tcW w:w="900" w:type="dxa"/>
          </w:tcPr>
          <w:p w14:paraId="1A74CC52" w14:textId="77777777" w:rsidR="00F71170" w:rsidRPr="006C2E87" w:rsidRDefault="00F71170" w:rsidP="00F301A6">
            <w:pPr>
              <w:spacing w:line="300" w:lineRule="exact"/>
              <w:jc w:val="both"/>
              <w:rPr>
                <w:rFonts w:asciiTheme="minorHAnsi" w:hAnsiTheme="minorHAnsi" w:cstheme="minorHAnsi"/>
                <w:sz w:val="22"/>
                <w:szCs w:val="22"/>
              </w:rPr>
            </w:pPr>
          </w:p>
        </w:tc>
        <w:tc>
          <w:tcPr>
            <w:tcW w:w="4320" w:type="dxa"/>
          </w:tcPr>
          <w:p w14:paraId="0DCF2E40" w14:textId="77777777" w:rsidR="00F71170" w:rsidRPr="006C2E87" w:rsidRDefault="00F71170" w:rsidP="00F301A6">
            <w:pPr>
              <w:spacing w:line="300" w:lineRule="exact"/>
              <w:jc w:val="center"/>
              <w:rPr>
                <w:rFonts w:asciiTheme="minorHAnsi" w:hAnsiTheme="minorHAnsi" w:cstheme="minorHAnsi"/>
                <w:sz w:val="22"/>
                <w:szCs w:val="22"/>
                <w:lang w:val="nl-NL"/>
              </w:rPr>
            </w:pPr>
            <w:r w:rsidRPr="006C2E87">
              <w:rPr>
                <w:rFonts w:asciiTheme="minorHAnsi" w:hAnsiTheme="minorHAnsi" w:cstheme="minorHAnsi"/>
                <w:sz w:val="22"/>
                <w:szCs w:val="22"/>
              </w:rPr>
              <w:t>bestuurder</w:t>
            </w:r>
          </w:p>
        </w:tc>
      </w:tr>
      <w:tr w:rsidR="00F71170" w:rsidRPr="000A4A41" w14:paraId="5CB576C2" w14:textId="77777777" w:rsidTr="00F301A6">
        <w:tc>
          <w:tcPr>
            <w:tcW w:w="4248" w:type="dxa"/>
          </w:tcPr>
          <w:p w14:paraId="5DD668A6" w14:textId="77777777" w:rsidR="00F71170" w:rsidRPr="006C2E87" w:rsidRDefault="00F71170" w:rsidP="00F301A6">
            <w:pPr>
              <w:spacing w:line="300" w:lineRule="exact"/>
              <w:jc w:val="center"/>
              <w:rPr>
                <w:rFonts w:asciiTheme="minorHAnsi" w:hAnsiTheme="minorHAnsi" w:cstheme="minorHAnsi"/>
                <w:sz w:val="22"/>
                <w:szCs w:val="22"/>
              </w:rPr>
            </w:pPr>
          </w:p>
        </w:tc>
        <w:tc>
          <w:tcPr>
            <w:tcW w:w="900" w:type="dxa"/>
          </w:tcPr>
          <w:p w14:paraId="057992B5" w14:textId="77777777" w:rsidR="00F71170" w:rsidRPr="006C2E87" w:rsidRDefault="00F71170" w:rsidP="00F301A6">
            <w:pPr>
              <w:spacing w:line="300" w:lineRule="exact"/>
              <w:jc w:val="both"/>
              <w:rPr>
                <w:rFonts w:asciiTheme="minorHAnsi" w:hAnsiTheme="minorHAnsi" w:cstheme="minorHAnsi"/>
                <w:sz w:val="22"/>
                <w:szCs w:val="22"/>
              </w:rPr>
            </w:pPr>
          </w:p>
        </w:tc>
        <w:tc>
          <w:tcPr>
            <w:tcW w:w="4320" w:type="dxa"/>
          </w:tcPr>
          <w:p w14:paraId="23FDDA89" w14:textId="77777777" w:rsidR="00F71170" w:rsidRPr="006C2E87" w:rsidRDefault="00F71170" w:rsidP="00F301A6">
            <w:pPr>
              <w:spacing w:line="300" w:lineRule="exact"/>
              <w:jc w:val="center"/>
              <w:rPr>
                <w:rFonts w:asciiTheme="minorHAnsi" w:hAnsiTheme="minorHAnsi" w:cstheme="minorHAnsi"/>
                <w:sz w:val="22"/>
                <w:szCs w:val="22"/>
              </w:rPr>
            </w:pPr>
          </w:p>
        </w:tc>
      </w:tr>
      <w:tr w:rsidR="00F71170" w:rsidRPr="000A4A41" w14:paraId="4891AFFE" w14:textId="77777777" w:rsidTr="00F301A6">
        <w:tc>
          <w:tcPr>
            <w:tcW w:w="4248" w:type="dxa"/>
          </w:tcPr>
          <w:p w14:paraId="3899EB23" w14:textId="77777777" w:rsidR="00F71170" w:rsidRPr="006C2E87" w:rsidRDefault="00F71170" w:rsidP="00F301A6">
            <w:pPr>
              <w:spacing w:line="300" w:lineRule="exact"/>
              <w:jc w:val="center"/>
              <w:rPr>
                <w:rFonts w:asciiTheme="minorHAnsi" w:hAnsiTheme="minorHAnsi" w:cstheme="minorHAnsi"/>
                <w:sz w:val="22"/>
                <w:szCs w:val="22"/>
              </w:rPr>
            </w:pPr>
          </w:p>
        </w:tc>
        <w:tc>
          <w:tcPr>
            <w:tcW w:w="900" w:type="dxa"/>
          </w:tcPr>
          <w:p w14:paraId="03DE5E75" w14:textId="77777777" w:rsidR="00F71170" w:rsidRPr="006C2E87" w:rsidRDefault="00F71170" w:rsidP="00F301A6">
            <w:pPr>
              <w:spacing w:line="300" w:lineRule="exact"/>
              <w:jc w:val="both"/>
              <w:rPr>
                <w:rFonts w:asciiTheme="minorHAnsi" w:hAnsiTheme="minorHAnsi" w:cstheme="minorHAnsi"/>
                <w:sz w:val="22"/>
                <w:szCs w:val="22"/>
              </w:rPr>
            </w:pPr>
          </w:p>
        </w:tc>
        <w:tc>
          <w:tcPr>
            <w:tcW w:w="4320" w:type="dxa"/>
          </w:tcPr>
          <w:p w14:paraId="04DA5F96" w14:textId="77777777" w:rsidR="00F71170" w:rsidRPr="006C2E87" w:rsidRDefault="00F71170" w:rsidP="00F301A6">
            <w:pPr>
              <w:spacing w:line="300" w:lineRule="exact"/>
              <w:jc w:val="center"/>
              <w:rPr>
                <w:rFonts w:asciiTheme="minorHAnsi" w:hAnsiTheme="minorHAnsi" w:cstheme="minorHAnsi"/>
                <w:sz w:val="22"/>
                <w:szCs w:val="22"/>
              </w:rPr>
            </w:pPr>
          </w:p>
        </w:tc>
      </w:tr>
      <w:tr w:rsidR="00B74C0F" w:rsidRPr="000A4A41" w14:paraId="024EA160" w14:textId="77777777" w:rsidTr="00F301A6">
        <w:tc>
          <w:tcPr>
            <w:tcW w:w="4248" w:type="dxa"/>
          </w:tcPr>
          <w:p w14:paraId="18198D73" w14:textId="77777777" w:rsidR="00B74C0F" w:rsidRPr="006C2E87" w:rsidRDefault="00B74C0F" w:rsidP="00B74C0F">
            <w:pPr>
              <w:spacing w:line="300" w:lineRule="exact"/>
              <w:jc w:val="center"/>
              <w:rPr>
                <w:rFonts w:asciiTheme="minorHAnsi" w:hAnsiTheme="minorHAnsi" w:cstheme="minorHAnsi"/>
                <w:sz w:val="22"/>
                <w:szCs w:val="22"/>
              </w:rPr>
            </w:pPr>
          </w:p>
        </w:tc>
        <w:tc>
          <w:tcPr>
            <w:tcW w:w="900" w:type="dxa"/>
          </w:tcPr>
          <w:p w14:paraId="27543704" w14:textId="77777777" w:rsidR="00B74C0F" w:rsidRPr="006C2E87" w:rsidRDefault="00B74C0F" w:rsidP="00B74C0F">
            <w:pPr>
              <w:spacing w:line="300" w:lineRule="exact"/>
              <w:jc w:val="both"/>
              <w:rPr>
                <w:rFonts w:asciiTheme="minorHAnsi" w:hAnsiTheme="minorHAnsi" w:cstheme="minorHAnsi"/>
                <w:sz w:val="22"/>
                <w:szCs w:val="22"/>
              </w:rPr>
            </w:pPr>
          </w:p>
        </w:tc>
        <w:tc>
          <w:tcPr>
            <w:tcW w:w="4320" w:type="dxa"/>
          </w:tcPr>
          <w:p w14:paraId="64CF5DCE" w14:textId="77777777" w:rsidR="00B74C0F" w:rsidRPr="006C2E87" w:rsidRDefault="00B74C0F" w:rsidP="00B74C0F">
            <w:pPr>
              <w:spacing w:line="300" w:lineRule="exact"/>
              <w:jc w:val="center"/>
              <w:rPr>
                <w:rFonts w:asciiTheme="minorHAnsi" w:hAnsiTheme="minorHAnsi" w:cstheme="minorHAnsi"/>
                <w:sz w:val="22"/>
                <w:szCs w:val="22"/>
              </w:rPr>
            </w:pPr>
          </w:p>
        </w:tc>
      </w:tr>
      <w:tr w:rsidR="00B74C0F" w:rsidRPr="000A4A41" w14:paraId="47947C92" w14:textId="77777777" w:rsidTr="00F301A6">
        <w:tc>
          <w:tcPr>
            <w:tcW w:w="4248" w:type="dxa"/>
          </w:tcPr>
          <w:p w14:paraId="4D30A382" w14:textId="77777777" w:rsidR="00B74C0F" w:rsidRPr="006C2E87" w:rsidRDefault="00B74C0F" w:rsidP="00B74C0F">
            <w:pPr>
              <w:spacing w:line="300" w:lineRule="exact"/>
              <w:jc w:val="center"/>
              <w:rPr>
                <w:rFonts w:asciiTheme="minorHAnsi" w:hAnsiTheme="minorHAnsi" w:cstheme="minorHAnsi"/>
                <w:sz w:val="22"/>
                <w:szCs w:val="22"/>
              </w:rPr>
            </w:pPr>
          </w:p>
        </w:tc>
        <w:tc>
          <w:tcPr>
            <w:tcW w:w="900" w:type="dxa"/>
          </w:tcPr>
          <w:p w14:paraId="5DFD7EF4" w14:textId="77777777" w:rsidR="00B74C0F" w:rsidRPr="006C2E87" w:rsidRDefault="00B74C0F" w:rsidP="00B74C0F">
            <w:pPr>
              <w:spacing w:line="300" w:lineRule="exact"/>
              <w:jc w:val="both"/>
              <w:rPr>
                <w:rFonts w:asciiTheme="minorHAnsi" w:hAnsiTheme="minorHAnsi" w:cstheme="minorHAnsi"/>
                <w:sz w:val="22"/>
                <w:szCs w:val="22"/>
              </w:rPr>
            </w:pPr>
          </w:p>
        </w:tc>
        <w:tc>
          <w:tcPr>
            <w:tcW w:w="4320" w:type="dxa"/>
          </w:tcPr>
          <w:p w14:paraId="60FC3BF1" w14:textId="77777777" w:rsidR="00B74C0F" w:rsidRPr="006C2E87" w:rsidRDefault="00B74C0F" w:rsidP="00B74C0F">
            <w:pPr>
              <w:spacing w:line="300" w:lineRule="exact"/>
              <w:jc w:val="center"/>
              <w:rPr>
                <w:rFonts w:asciiTheme="minorHAnsi" w:hAnsiTheme="minorHAnsi" w:cstheme="minorHAnsi"/>
                <w:sz w:val="22"/>
                <w:szCs w:val="22"/>
              </w:rPr>
            </w:pPr>
          </w:p>
        </w:tc>
      </w:tr>
      <w:tr w:rsidR="00B74C0F" w:rsidRPr="000A4A41" w14:paraId="04D560DA" w14:textId="77777777" w:rsidTr="00F301A6">
        <w:tc>
          <w:tcPr>
            <w:tcW w:w="4248" w:type="dxa"/>
          </w:tcPr>
          <w:p w14:paraId="4E272790" w14:textId="77777777" w:rsidR="00B74C0F" w:rsidRPr="006C2E87" w:rsidRDefault="00B74C0F" w:rsidP="00B74C0F">
            <w:pPr>
              <w:spacing w:line="300" w:lineRule="exact"/>
              <w:jc w:val="center"/>
              <w:rPr>
                <w:rFonts w:asciiTheme="minorHAnsi" w:hAnsiTheme="minorHAnsi" w:cstheme="minorHAnsi"/>
                <w:sz w:val="22"/>
                <w:szCs w:val="22"/>
              </w:rPr>
            </w:pPr>
          </w:p>
        </w:tc>
        <w:tc>
          <w:tcPr>
            <w:tcW w:w="900" w:type="dxa"/>
          </w:tcPr>
          <w:p w14:paraId="4F258BE3" w14:textId="77777777" w:rsidR="00B74C0F" w:rsidRPr="006C2E87" w:rsidRDefault="00B74C0F" w:rsidP="00B74C0F">
            <w:pPr>
              <w:spacing w:line="300" w:lineRule="exact"/>
              <w:jc w:val="both"/>
              <w:rPr>
                <w:rFonts w:asciiTheme="minorHAnsi" w:hAnsiTheme="minorHAnsi" w:cstheme="minorHAnsi"/>
                <w:sz w:val="22"/>
                <w:szCs w:val="22"/>
              </w:rPr>
            </w:pPr>
          </w:p>
        </w:tc>
        <w:tc>
          <w:tcPr>
            <w:tcW w:w="4320" w:type="dxa"/>
          </w:tcPr>
          <w:p w14:paraId="6E7475BA" w14:textId="77777777" w:rsidR="00B74C0F" w:rsidRPr="006C2E87" w:rsidRDefault="00B74C0F" w:rsidP="00B74C0F">
            <w:pPr>
              <w:spacing w:line="300" w:lineRule="exact"/>
              <w:jc w:val="center"/>
              <w:rPr>
                <w:rFonts w:asciiTheme="minorHAnsi" w:hAnsiTheme="minorHAnsi" w:cstheme="minorHAnsi"/>
                <w:sz w:val="22"/>
                <w:szCs w:val="22"/>
              </w:rPr>
            </w:pPr>
          </w:p>
        </w:tc>
      </w:tr>
      <w:tr w:rsidR="00B74C0F" w:rsidRPr="000A4A41" w14:paraId="7C60C470" w14:textId="77777777" w:rsidTr="00F301A6">
        <w:tc>
          <w:tcPr>
            <w:tcW w:w="4248" w:type="dxa"/>
          </w:tcPr>
          <w:p w14:paraId="7ED8D1B6" w14:textId="77777777" w:rsidR="00B74C0F" w:rsidRPr="006C2E87" w:rsidRDefault="00B74C0F" w:rsidP="00B74C0F">
            <w:pPr>
              <w:spacing w:line="300" w:lineRule="exact"/>
              <w:jc w:val="center"/>
              <w:rPr>
                <w:rFonts w:asciiTheme="minorHAnsi" w:hAnsiTheme="minorHAnsi" w:cstheme="minorHAnsi"/>
                <w:sz w:val="22"/>
                <w:szCs w:val="22"/>
              </w:rPr>
            </w:pPr>
          </w:p>
        </w:tc>
        <w:tc>
          <w:tcPr>
            <w:tcW w:w="900" w:type="dxa"/>
          </w:tcPr>
          <w:p w14:paraId="5EF23737" w14:textId="77777777" w:rsidR="00B74C0F" w:rsidRPr="006C2E87" w:rsidRDefault="00B74C0F" w:rsidP="00B74C0F">
            <w:pPr>
              <w:spacing w:line="300" w:lineRule="exact"/>
              <w:jc w:val="both"/>
              <w:rPr>
                <w:rFonts w:asciiTheme="minorHAnsi" w:hAnsiTheme="minorHAnsi" w:cstheme="minorHAnsi"/>
                <w:sz w:val="22"/>
                <w:szCs w:val="22"/>
              </w:rPr>
            </w:pPr>
          </w:p>
        </w:tc>
        <w:tc>
          <w:tcPr>
            <w:tcW w:w="4320" w:type="dxa"/>
          </w:tcPr>
          <w:p w14:paraId="0D3D1BD0" w14:textId="77777777" w:rsidR="00B74C0F" w:rsidRPr="006C2E87" w:rsidRDefault="00B74C0F" w:rsidP="00B74C0F">
            <w:pPr>
              <w:spacing w:line="300" w:lineRule="exact"/>
              <w:jc w:val="center"/>
              <w:rPr>
                <w:rFonts w:asciiTheme="minorHAnsi" w:hAnsiTheme="minorHAnsi" w:cstheme="minorHAnsi"/>
                <w:sz w:val="22"/>
                <w:szCs w:val="22"/>
              </w:rPr>
            </w:pPr>
          </w:p>
        </w:tc>
      </w:tr>
      <w:tr w:rsidR="00B74C0F" w:rsidRPr="000A4A41" w14:paraId="764E84E1" w14:textId="77777777" w:rsidTr="00F301A6">
        <w:tc>
          <w:tcPr>
            <w:tcW w:w="4248" w:type="dxa"/>
          </w:tcPr>
          <w:p w14:paraId="73AA6014" w14:textId="77777777" w:rsidR="00B74C0F" w:rsidRPr="006C2E87" w:rsidRDefault="00B74C0F" w:rsidP="00B74C0F">
            <w:pPr>
              <w:spacing w:line="300" w:lineRule="exact"/>
              <w:jc w:val="center"/>
              <w:rPr>
                <w:rFonts w:asciiTheme="minorHAnsi" w:hAnsiTheme="minorHAnsi" w:cstheme="minorHAnsi"/>
                <w:sz w:val="22"/>
                <w:szCs w:val="22"/>
              </w:rPr>
            </w:pPr>
          </w:p>
        </w:tc>
        <w:tc>
          <w:tcPr>
            <w:tcW w:w="900" w:type="dxa"/>
          </w:tcPr>
          <w:p w14:paraId="6A34E17D" w14:textId="77777777" w:rsidR="00B74C0F" w:rsidRPr="006C2E87" w:rsidRDefault="00B74C0F" w:rsidP="00B74C0F">
            <w:pPr>
              <w:spacing w:line="300" w:lineRule="exact"/>
              <w:jc w:val="both"/>
              <w:rPr>
                <w:rFonts w:asciiTheme="minorHAnsi" w:hAnsiTheme="minorHAnsi" w:cstheme="minorHAnsi"/>
                <w:sz w:val="22"/>
                <w:szCs w:val="22"/>
              </w:rPr>
            </w:pPr>
          </w:p>
        </w:tc>
        <w:tc>
          <w:tcPr>
            <w:tcW w:w="4320" w:type="dxa"/>
          </w:tcPr>
          <w:p w14:paraId="09BB6CED" w14:textId="77777777" w:rsidR="00B74C0F" w:rsidRPr="006C2E87" w:rsidRDefault="00B74C0F" w:rsidP="00B74C0F">
            <w:pPr>
              <w:spacing w:line="300" w:lineRule="exact"/>
              <w:jc w:val="center"/>
              <w:rPr>
                <w:rFonts w:asciiTheme="minorHAnsi" w:hAnsiTheme="minorHAnsi" w:cstheme="minorHAnsi"/>
                <w:sz w:val="22"/>
                <w:szCs w:val="22"/>
              </w:rPr>
            </w:pPr>
          </w:p>
        </w:tc>
      </w:tr>
      <w:tr w:rsidR="00B74C0F" w:rsidRPr="000A4A41" w14:paraId="1C15519C" w14:textId="77777777" w:rsidTr="00F301A6">
        <w:tc>
          <w:tcPr>
            <w:tcW w:w="4248" w:type="dxa"/>
          </w:tcPr>
          <w:p w14:paraId="34298ED7" w14:textId="77777777" w:rsidR="00B74C0F" w:rsidRPr="006C2E87" w:rsidRDefault="00B74C0F" w:rsidP="00B74C0F">
            <w:pPr>
              <w:spacing w:line="300" w:lineRule="exact"/>
              <w:jc w:val="center"/>
              <w:rPr>
                <w:rFonts w:asciiTheme="minorHAnsi" w:hAnsiTheme="minorHAnsi" w:cstheme="minorHAnsi"/>
                <w:sz w:val="22"/>
                <w:szCs w:val="22"/>
              </w:rPr>
            </w:pPr>
          </w:p>
        </w:tc>
        <w:tc>
          <w:tcPr>
            <w:tcW w:w="900" w:type="dxa"/>
          </w:tcPr>
          <w:p w14:paraId="395997B0" w14:textId="77777777" w:rsidR="00B74C0F" w:rsidRPr="006C2E87" w:rsidRDefault="00B74C0F" w:rsidP="00B74C0F">
            <w:pPr>
              <w:spacing w:line="300" w:lineRule="exact"/>
              <w:jc w:val="both"/>
              <w:rPr>
                <w:rFonts w:asciiTheme="minorHAnsi" w:hAnsiTheme="minorHAnsi" w:cstheme="minorHAnsi"/>
                <w:sz w:val="22"/>
                <w:szCs w:val="22"/>
              </w:rPr>
            </w:pPr>
          </w:p>
        </w:tc>
        <w:tc>
          <w:tcPr>
            <w:tcW w:w="4320" w:type="dxa"/>
          </w:tcPr>
          <w:p w14:paraId="3D1CFCA6" w14:textId="77777777" w:rsidR="00B74C0F" w:rsidRPr="006C2E87" w:rsidRDefault="00B74C0F" w:rsidP="00B74C0F">
            <w:pPr>
              <w:spacing w:line="300" w:lineRule="exact"/>
              <w:jc w:val="center"/>
              <w:rPr>
                <w:rFonts w:asciiTheme="minorHAnsi" w:hAnsiTheme="minorHAnsi" w:cstheme="minorHAnsi"/>
                <w:sz w:val="22"/>
                <w:szCs w:val="22"/>
              </w:rPr>
            </w:pPr>
          </w:p>
        </w:tc>
      </w:tr>
      <w:tr w:rsidR="00B74C0F" w:rsidRPr="000A4A41" w14:paraId="2174616A" w14:textId="77777777" w:rsidTr="00F301A6">
        <w:tc>
          <w:tcPr>
            <w:tcW w:w="4248" w:type="dxa"/>
          </w:tcPr>
          <w:p w14:paraId="6231ED1A" w14:textId="08C9F694" w:rsidR="00B74C0F" w:rsidRPr="006C2E87" w:rsidRDefault="00B74C0F" w:rsidP="00B74C0F">
            <w:pPr>
              <w:spacing w:line="300" w:lineRule="exact"/>
              <w:jc w:val="center"/>
              <w:rPr>
                <w:rFonts w:asciiTheme="minorHAnsi" w:hAnsiTheme="minorHAnsi" w:cstheme="minorHAnsi"/>
                <w:sz w:val="22"/>
                <w:szCs w:val="22"/>
              </w:rPr>
            </w:pPr>
            <w:r w:rsidRPr="006C2E87">
              <w:rPr>
                <w:rFonts w:asciiTheme="minorHAnsi" w:hAnsiTheme="minorHAnsi" w:cstheme="minorHAnsi"/>
                <w:sz w:val="22"/>
                <w:szCs w:val="22"/>
              </w:rPr>
              <w:t>____________________</w:t>
            </w:r>
          </w:p>
        </w:tc>
        <w:tc>
          <w:tcPr>
            <w:tcW w:w="900" w:type="dxa"/>
          </w:tcPr>
          <w:p w14:paraId="3061E1BA" w14:textId="77777777" w:rsidR="00B74C0F" w:rsidRPr="006C2E87" w:rsidRDefault="00B74C0F" w:rsidP="00B74C0F">
            <w:pPr>
              <w:spacing w:line="300" w:lineRule="exact"/>
              <w:jc w:val="both"/>
              <w:rPr>
                <w:rFonts w:asciiTheme="minorHAnsi" w:hAnsiTheme="minorHAnsi" w:cstheme="minorHAnsi"/>
                <w:sz w:val="22"/>
                <w:szCs w:val="22"/>
              </w:rPr>
            </w:pPr>
          </w:p>
        </w:tc>
        <w:tc>
          <w:tcPr>
            <w:tcW w:w="4320" w:type="dxa"/>
          </w:tcPr>
          <w:p w14:paraId="361D69E6" w14:textId="470541CA" w:rsidR="00B74C0F" w:rsidRPr="006C2E87" w:rsidRDefault="00B74C0F" w:rsidP="00B74C0F">
            <w:pPr>
              <w:spacing w:line="300" w:lineRule="exact"/>
              <w:jc w:val="center"/>
              <w:rPr>
                <w:rFonts w:asciiTheme="minorHAnsi" w:hAnsiTheme="minorHAnsi" w:cstheme="minorHAnsi"/>
                <w:sz w:val="22"/>
                <w:szCs w:val="22"/>
              </w:rPr>
            </w:pPr>
            <w:r w:rsidRPr="006C2E87">
              <w:rPr>
                <w:rFonts w:asciiTheme="minorHAnsi" w:hAnsiTheme="minorHAnsi" w:cstheme="minorHAnsi"/>
                <w:sz w:val="22"/>
                <w:szCs w:val="22"/>
              </w:rPr>
              <w:t>____________________</w:t>
            </w:r>
          </w:p>
        </w:tc>
      </w:tr>
      <w:tr w:rsidR="00B74C0F" w:rsidRPr="000A4A41" w14:paraId="0F6B532F" w14:textId="77777777" w:rsidTr="00F301A6">
        <w:tc>
          <w:tcPr>
            <w:tcW w:w="4248" w:type="dxa"/>
          </w:tcPr>
          <w:p w14:paraId="702B7CDC" w14:textId="5B71D4C4" w:rsidR="00B74C0F" w:rsidRPr="006C2E87" w:rsidRDefault="00B74C0F" w:rsidP="00B74C0F">
            <w:pPr>
              <w:spacing w:line="300" w:lineRule="exact"/>
              <w:jc w:val="center"/>
              <w:rPr>
                <w:rFonts w:asciiTheme="minorHAnsi" w:hAnsiTheme="minorHAnsi" w:cstheme="minorHAnsi"/>
                <w:sz w:val="22"/>
                <w:szCs w:val="22"/>
              </w:rPr>
            </w:pPr>
            <w:r>
              <w:rPr>
                <w:rFonts w:asciiTheme="minorHAnsi" w:hAnsiTheme="minorHAnsi" w:cstheme="minorHAnsi"/>
                <w:sz w:val="22"/>
                <w:szCs w:val="22"/>
                <w:lang w:val="fr-BE"/>
              </w:rPr>
              <w:t>Peter C</w:t>
            </w:r>
            <w:r w:rsidR="001376E8">
              <w:rPr>
                <w:rFonts w:asciiTheme="minorHAnsi" w:hAnsiTheme="minorHAnsi" w:cstheme="minorHAnsi"/>
                <w:sz w:val="22"/>
                <w:szCs w:val="22"/>
                <w:lang w:val="fr-BE"/>
              </w:rPr>
              <w:t>aluwaerts</w:t>
            </w:r>
          </w:p>
        </w:tc>
        <w:tc>
          <w:tcPr>
            <w:tcW w:w="900" w:type="dxa"/>
          </w:tcPr>
          <w:p w14:paraId="4F620339" w14:textId="77777777" w:rsidR="00B74C0F" w:rsidRPr="006C2E87" w:rsidRDefault="00B74C0F" w:rsidP="00B74C0F">
            <w:pPr>
              <w:spacing w:line="300" w:lineRule="exact"/>
              <w:jc w:val="both"/>
              <w:rPr>
                <w:rFonts w:asciiTheme="minorHAnsi" w:hAnsiTheme="minorHAnsi" w:cstheme="minorHAnsi"/>
                <w:sz w:val="22"/>
                <w:szCs w:val="22"/>
              </w:rPr>
            </w:pPr>
          </w:p>
        </w:tc>
        <w:tc>
          <w:tcPr>
            <w:tcW w:w="4320" w:type="dxa"/>
          </w:tcPr>
          <w:p w14:paraId="7E2292EC" w14:textId="1E75FEC7" w:rsidR="00B74C0F" w:rsidRPr="006C2E87" w:rsidRDefault="001376E8" w:rsidP="00B74C0F">
            <w:pPr>
              <w:spacing w:line="300" w:lineRule="exact"/>
              <w:jc w:val="center"/>
              <w:rPr>
                <w:rFonts w:asciiTheme="minorHAnsi" w:hAnsiTheme="minorHAnsi" w:cstheme="minorHAnsi"/>
                <w:sz w:val="22"/>
                <w:szCs w:val="22"/>
              </w:rPr>
            </w:pPr>
            <w:r>
              <w:rPr>
                <w:rFonts w:asciiTheme="minorHAnsi" w:hAnsiTheme="minorHAnsi" w:cstheme="minorHAnsi"/>
                <w:sz w:val="22"/>
                <w:szCs w:val="22"/>
              </w:rPr>
              <w:t>Kristof Verlinden</w:t>
            </w:r>
          </w:p>
        </w:tc>
      </w:tr>
      <w:tr w:rsidR="00B74C0F" w:rsidRPr="000A4A41" w14:paraId="3A7C20C5" w14:textId="77777777" w:rsidTr="00F301A6">
        <w:tc>
          <w:tcPr>
            <w:tcW w:w="4248" w:type="dxa"/>
          </w:tcPr>
          <w:p w14:paraId="14CBC9B7" w14:textId="633E1149" w:rsidR="00B74C0F" w:rsidRDefault="00B74C0F" w:rsidP="00B74C0F">
            <w:pPr>
              <w:spacing w:line="300" w:lineRule="exact"/>
              <w:jc w:val="center"/>
              <w:rPr>
                <w:rFonts w:asciiTheme="minorHAnsi" w:hAnsiTheme="minorHAnsi" w:cstheme="minorHAnsi"/>
                <w:sz w:val="22"/>
                <w:szCs w:val="22"/>
                <w:lang w:val="fr-BE"/>
              </w:rPr>
            </w:pPr>
            <w:r w:rsidRPr="006C2E87">
              <w:rPr>
                <w:rFonts w:asciiTheme="minorHAnsi" w:hAnsiTheme="minorHAnsi" w:cstheme="minorHAnsi"/>
                <w:sz w:val="22"/>
                <w:szCs w:val="22"/>
              </w:rPr>
              <w:t>bestuurder</w:t>
            </w:r>
          </w:p>
        </w:tc>
        <w:tc>
          <w:tcPr>
            <w:tcW w:w="900" w:type="dxa"/>
          </w:tcPr>
          <w:p w14:paraId="690628B3" w14:textId="77777777" w:rsidR="00B74C0F" w:rsidRPr="006C2E87" w:rsidRDefault="00B74C0F" w:rsidP="00B74C0F">
            <w:pPr>
              <w:spacing w:line="300" w:lineRule="exact"/>
              <w:jc w:val="both"/>
              <w:rPr>
                <w:rFonts w:asciiTheme="minorHAnsi" w:hAnsiTheme="minorHAnsi" w:cstheme="minorHAnsi"/>
                <w:sz w:val="22"/>
                <w:szCs w:val="22"/>
              </w:rPr>
            </w:pPr>
          </w:p>
        </w:tc>
        <w:tc>
          <w:tcPr>
            <w:tcW w:w="4320" w:type="dxa"/>
          </w:tcPr>
          <w:p w14:paraId="2C545636" w14:textId="33C11E2B" w:rsidR="00B74C0F" w:rsidRPr="006C2E87" w:rsidRDefault="00B74C0F" w:rsidP="00B74C0F">
            <w:pPr>
              <w:spacing w:line="300" w:lineRule="exact"/>
              <w:jc w:val="center"/>
              <w:rPr>
                <w:rFonts w:asciiTheme="minorHAnsi" w:hAnsiTheme="minorHAnsi" w:cstheme="minorHAnsi"/>
                <w:sz w:val="22"/>
                <w:szCs w:val="22"/>
              </w:rPr>
            </w:pPr>
            <w:r w:rsidRPr="006C2E87">
              <w:rPr>
                <w:rFonts w:asciiTheme="minorHAnsi" w:hAnsiTheme="minorHAnsi" w:cstheme="minorHAnsi"/>
                <w:sz w:val="22"/>
                <w:szCs w:val="22"/>
              </w:rPr>
              <w:t>bestuurder</w:t>
            </w:r>
          </w:p>
        </w:tc>
      </w:tr>
      <w:tr w:rsidR="00B74C0F" w:rsidRPr="000A4A41" w14:paraId="336D6BB3" w14:textId="77777777" w:rsidTr="00F301A6">
        <w:tc>
          <w:tcPr>
            <w:tcW w:w="4248" w:type="dxa"/>
          </w:tcPr>
          <w:p w14:paraId="70689C65" w14:textId="77777777" w:rsidR="00B74C0F" w:rsidRPr="006C2E87" w:rsidRDefault="00B74C0F" w:rsidP="00B74C0F">
            <w:pPr>
              <w:spacing w:line="300" w:lineRule="exact"/>
              <w:jc w:val="center"/>
              <w:rPr>
                <w:rFonts w:asciiTheme="minorHAnsi" w:hAnsiTheme="minorHAnsi" w:cstheme="minorHAnsi"/>
                <w:sz w:val="22"/>
                <w:szCs w:val="22"/>
              </w:rPr>
            </w:pPr>
          </w:p>
        </w:tc>
        <w:tc>
          <w:tcPr>
            <w:tcW w:w="900" w:type="dxa"/>
          </w:tcPr>
          <w:p w14:paraId="7844C812" w14:textId="77777777" w:rsidR="00B74C0F" w:rsidRPr="006C2E87" w:rsidRDefault="00B74C0F" w:rsidP="00B74C0F">
            <w:pPr>
              <w:spacing w:line="300" w:lineRule="exact"/>
              <w:jc w:val="both"/>
              <w:rPr>
                <w:rFonts w:asciiTheme="minorHAnsi" w:hAnsiTheme="minorHAnsi" w:cstheme="minorHAnsi"/>
                <w:sz w:val="22"/>
                <w:szCs w:val="22"/>
              </w:rPr>
            </w:pPr>
          </w:p>
        </w:tc>
        <w:tc>
          <w:tcPr>
            <w:tcW w:w="4320" w:type="dxa"/>
          </w:tcPr>
          <w:p w14:paraId="01BC64A3" w14:textId="77777777" w:rsidR="00B74C0F" w:rsidRPr="006C2E87" w:rsidRDefault="00B74C0F" w:rsidP="00B74C0F">
            <w:pPr>
              <w:spacing w:line="300" w:lineRule="exact"/>
              <w:jc w:val="center"/>
              <w:rPr>
                <w:rFonts w:asciiTheme="minorHAnsi" w:hAnsiTheme="minorHAnsi" w:cstheme="minorHAnsi"/>
                <w:sz w:val="22"/>
                <w:szCs w:val="22"/>
              </w:rPr>
            </w:pPr>
          </w:p>
        </w:tc>
      </w:tr>
      <w:tr w:rsidR="00B74C0F" w:rsidRPr="000A4A41" w14:paraId="2DB68C6F" w14:textId="77777777" w:rsidTr="00F301A6">
        <w:tc>
          <w:tcPr>
            <w:tcW w:w="4248" w:type="dxa"/>
          </w:tcPr>
          <w:p w14:paraId="504FD25B" w14:textId="77777777" w:rsidR="00B74C0F" w:rsidRPr="006C2E87" w:rsidRDefault="00B74C0F" w:rsidP="00B74C0F">
            <w:pPr>
              <w:spacing w:line="300" w:lineRule="exact"/>
              <w:jc w:val="center"/>
              <w:rPr>
                <w:rFonts w:asciiTheme="minorHAnsi" w:hAnsiTheme="minorHAnsi" w:cstheme="minorHAnsi"/>
                <w:sz w:val="22"/>
                <w:szCs w:val="22"/>
              </w:rPr>
            </w:pPr>
          </w:p>
        </w:tc>
        <w:tc>
          <w:tcPr>
            <w:tcW w:w="900" w:type="dxa"/>
          </w:tcPr>
          <w:p w14:paraId="2145CA59" w14:textId="77777777" w:rsidR="00B74C0F" w:rsidRPr="006C2E87" w:rsidRDefault="00B74C0F" w:rsidP="00B74C0F">
            <w:pPr>
              <w:spacing w:line="300" w:lineRule="exact"/>
              <w:jc w:val="both"/>
              <w:rPr>
                <w:rFonts w:asciiTheme="minorHAnsi" w:hAnsiTheme="minorHAnsi" w:cstheme="minorHAnsi"/>
                <w:sz w:val="22"/>
                <w:szCs w:val="22"/>
              </w:rPr>
            </w:pPr>
          </w:p>
        </w:tc>
        <w:tc>
          <w:tcPr>
            <w:tcW w:w="4320" w:type="dxa"/>
          </w:tcPr>
          <w:p w14:paraId="0D707148" w14:textId="77777777" w:rsidR="00B74C0F" w:rsidRPr="006C2E87" w:rsidRDefault="00B74C0F" w:rsidP="00B74C0F">
            <w:pPr>
              <w:spacing w:line="300" w:lineRule="exact"/>
              <w:jc w:val="center"/>
              <w:rPr>
                <w:rFonts w:asciiTheme="minorHAnsi" w:hAnsiTheme="minorHAnsi" w:cstheme="minorHAnsi"/>
                <w:sz w:val="22"/>
                <w:szCs w:val="22"/>
              </w:rPr>
            </w:pPr>
          </w:p>
        </w:tc>
      </w:tr>
      <w:tr w:rsidR="00B74C0F" w:rsidRPr="000A4A41" w14:paraId="3E9C3926" w14:textId="77777777" w:rsidTr="00F301A6">
        <w:tc>
          <w:tcPr>
            <w:tcW w:w="4248" w:type="dxa"/>
          </w:tcPr>
          <w:p w14:paraId="5876DBCF" w14:textId="77777777" w:rsidR="00B74C0F" w:rsidRPr="006C2E87" w:rsidRDefault="00B74C0F" w:rsidP="00B74C0F">
            <w:pPr>
              <w:spacing w:line="300" w:lineRule="exact"/>
              <w:jc w:val="center"/>
              <w:rPr>
                <w:rFonts w:asciiTheme="minorHAnsi" w:hAnsiTheme="minorHAnsi" w:cstheme="minorHAnsi"/>
                <w:sz w:val="22"/>
                <w:szCs w:val="22"/>
              </w:rPr>
            </w:pPr>
          </w:p>
        </w:tc>
        <w:tc>
          <w:tcPr>
            <w:tcW w:w="900" w:type="dxa"/>
          </w:tcPr>
          <w:p w14:paraId="62DB8ABC" w14:textId="77777777" w:rsidR="00B74C0F" w:rsidRPr="006C2E87" w:rsidRDefault="00B74C0F" w:rsidP="00B74C0F">
            <w:pPr>
              <w:spacing w:line="300" w:lineRule="exact"/>
              <w:jc w:val="both"/>
              <w:rPr>
                <w:rFonts w:asciiTheme="minorHAnsi" w:hAnsiTheme="minorHAnsi" w:cstheme="minorHAnsi"/>
                <w:sz w:val="22"/>
                <w:szCs w:val="22"/>
              </w:rPr>
            </w:pPr>
          </w:p>
        </w:tc>
        <w:tc>
          <w:tcPr>
            <w:tcW w:w="4320" w:type="dxa"/>
          </w:tcPr>
          <w:p w14:paraId="1B664CC7" w14:textId="77777777" w:rsidR="00B74C0F" w:rsidRPr="006C2E87" w:rsidRDefault="00B74C0F" w:rsidP="00B74C0F">
            <w:pPr>
              <w:spacing w:line="300" w:lineRule="exact"/>
              <w:jc w:val="center"/>
              <w:rPr>
                <w:rFonts w:asciiTheme="minorHAnsi" w:hAnsiTheme="minorHAnsi" w:cstheme="minorHAnsi"/>
                <w:sz w:val="22"/>
                <w:szCs w:val="22"/>
              </w:rPr>
            </w:pPr>
          </w:p>
        </w:tc>
      </w:tr>
    </w:tbl>
    <w:p w14:paraId="2462C930" w14:textId="53112423" w:rsidR="004D5B3B" w:rsidRDefault="004D5B3B" w:rsidP="00983DE2">
      <w:pPr>
        <w:spacing w:after="160" w:line="259" w:lineRule="auto"/>
        <w:rPr>
          <w:rFonts w:asciiTheme="minorHAnsi" w:hAnsiTheme="minorHAnsi"/>
          <w:sz w:val="22"/>
          <w:szCs w:val="22"/>
          <w:lang w:val="nl-NL" w:eastAsia="nl-NL"/>
        </w:rPr>
      </w:pPr>
    </w:p>
    <w:p w14:paraId="53A43DB6" w14:textId="77777777" w:rsidR="004D5B3B" w:rsidRDefault="004D5B3B">
      <w:pPr>
        <w:spacing w:after="160" w:line="259" w:lineRule="auto"/>
        <w:rPr>
          <w:rFonts w:asciiTheme="minorHAnsi" w:hAnsiTheme="minorHAnsi"/>
          <w:sz w:val="22"/>
          <w:szCs w:val="22"/>
          <w:lang w:val="nl-NL" w:eastAsia="nl-NL"/>
        </w:rPr>
      </w:pPr>
      <w:r>
        <w:rPr>
          <w:rFonts w:asciiTheme="minorHAnsi" w:hAnsiTheme="minorHAnsi"/>
          <w:sz w:val="22"/>
          <w:szCs w:val="22"/>
          <w:lang w:val="nl-NL" w:eastAsia="nl-NL"/>
        </w:rPr>
        <w:br w:type="page"/>
      </w:r>
    </w:p>
    <w:p w14:paraId="2719BBC9" w14:textId="621CF87E" w:rsidR="0002545C" w:rsidRPr="0002545C" w:rsidRDefault="00EB1742" w:rsidP="004D5B3B">
      <w:pPr>
        <w:spacing w:after="160" w:line="259" w:lineRule="auto"/>
        <w:jc w:val="center"/>
        <w:rPr>
          <w:rFonts w:ascii="Calibri" w:eastAsia="Calibri" w:hAnsi="Calibri"/>
          <w:b/>
          <w:sz w:val="22"/>
          <w:szCs w:val="22"/>
          <w:lang w:val="nl-BE"/>
        </w:rPr>
      </w:pPr>
      <w:bookmarkStart w:id="0" w:name="_Hlk68703304"/>
      <w:r>
        <w:rPr>
          <w:rFonts w:ascii="Calibri" w:eastAsia="Calibri" w:hAnsi="Calibri"/>
          <w:b/>
          <w:sz w:val="22"/>
          <w:szCs w:val="22"/>
          <w:lang w:val="nl-BE"/>
        </w:rPr>
        <w:lastRenderedPageBreak/>
        <w:t xml:space="preserve">Bijlage 1 - </w:t>
      </w:r>
      <w:r w:rsidR="0002545C" w:rsidRPr="0002545C">
        <w:rPr>
          <w:rFonts w:ascii="Calibri" w:eastAsia="Calibri" w:hAnsi="Calibri"/>
          <w:b/>
          <w:sz w:val="22"/>
          <w:szCs w:val="22"/>
          <w:lang w:val="nl-BE"/>
        </w:rPr>
        <w:t>Bijzonder verslag over de wijze waarop de vennootschap toezicht houdt op de erkenningsvoorwaarden</w:t>
      </w:r>
      <w:bookmarkEnd w:id="0"/>
    </w:p>
    <w:p w14:paraId="2145C984" w14:textId="77777777" w:rsidR="0002545C" w:rsidRPr="0002545C" w:rsidRDefault="0002545C" w:rsidP="0002545C">
      <w:pPr>
        <w:spacing w:after="160" w:line="259" w:lineRule="auto"/>
        <w:jc w:val="center"/>
        <w:rPr>
          <w:rFonts w:ascii="Calibri" w:eastAsia="Calibri" w:hAnsi="Calibri"/>
          <w:b/>
          <w:sz w:val="22"/>
          <w:szCs w:val="22"/>
          <w:lang w:val="nl-NL"/>
        </w:rPr>
      </w:pPr>
      <w:r w:rsidRPr="0002545C">
        <w:rPr>
          <w:rFonts w:ascii="Calibri" w:eastAsia="Calibri" w:hAnsi="Calibri"/>
          <w:b/>
          <w:sz w:val="22"/>
          <w:szCs w:val="22"/>
          <w:lang w:val="nl-NL"/>
        </w:rPr>
        <w:t>****</w:t>
      </w:r>
    </w:p>
    <w:p w14:paraId="0D5088F9" w14:textId="450A8DFF" w:rsidR="0002545C" w:rsidRPr="00764177" w:rsidRDefault="0002545C" w:rsidP="0002545C">
      <w:pPr>
        <w:spacing w:after="160" w:line="259" w:lineRule="auto"/>
        <w:jc w:val="right"/>
        <w:rPr>
          <w:rFonts w:ascii="Calibri" w:eastAsia="Calibri" w:hAnsi="Calibri"/>
          <w:sz w:val="22"/>
          <w:szCs w:val="22"/>
          <w:lang w:val="nl-BE"/>
        </w:rPr>
      </w:pPr>
      <w:r w:rsidRPr="00764177">
        <w:rPr>
          <w:rFonts w:ascii="Calibri" w:eastAsia="Calibri" w:hAnsi="Calibri"/>
          <w:sz w:val="22"/>
          <w:szCs w:val="22"/>
          <w:lang w:val="nl-BE"/>
        </w:rPr>
        <w:t xml:space="preserve">Leuven, </w:t>
      </w:r>
      <w:r w:rsidR="00764177" w:rsidRPr="000C7791">
        <w:rPr>
          <w:rFonts w:ascii="Calibri" w:eastAsia="Calibri" w:hAnsi="Calibri"/>
          <w:sz w:val="22"/>
          <w:szCs w:val="22"/>
          <w:lang w:val="nl-BE"/>
        </w:rPr>
        <w:t>16</w:t>
      </w:r>
      <w:r w:rsidR="00351E86" w:rsidRPr="00583DBC">
        <w:rPr>
          <w:rFonts w:ascii="Calibri" w:eastAsia="Calibri" w:hAnsi="Calibri"/>
          <w:sz w:val="22"/>
          <w:szCs w:val="22"/>
          <w:lang w:val="nl-BE"/>
        </w:rPr>
        <w:t xml:space="preserve"> april</w:t>
      </w:r>
      <w:r w:rsidRPr="00583DBC">
        <w:rPr>
          <w:rFonts w:ascii="Calibri" w:eastAsia="Calibri" w:hAnsi="Calibri"/>
          <w:sz w:val="22"/>
          <w:szCs w:val="22"/>
          <w:lang w:val="nl-BE"/>
        </w:rPr>
        <w:t xml:space="preserve"> 202</w:t>
      </w:r>
      <w:r w:rsidR="000005D9" w:rsidRPr="00583DBC">
        <w:rPr>
          <w:rFonts w:ascii="Calibri" w:eastAsia="Calibri" w:hAnsi="Calibri"/>
          <w:sz w:val="22"/>
          <w:szCs w:val="22"/>
          <w:lang w:val="nl-BE"/>
        </w:rPr>
        <w:t>4</w:t>
      </w:r>
    </w:p>
    <w:p w14:paraId="65A37EE3" w14:textId="77777777" w:rsidR="0002545C" w:rsidRPr="0002545C" w:rsidRDefault="0002545C" w:rsidP="0002545C">
      <w:pPr>
        <w:spacing w:after="160" w:line="259" w:lineRule="auto"/>
        <w:jc w:val="both"/>
        <w:rPr>
          <w:rFonts w:ascii="Calibri" w:eastAsia="Calibri" w:hAnsi="Calibri"/>
          <w:sz w:val="22"/>
          <w:szCs w:val="22"/>
          <w:lang w:val="nl-BE"/>
        </w:rPr>
      </w:pPr>
      <w:r w:rsidRPr="00764177">
        <w:rPr>
          <w:rFonts w:ascii="Calibri" w:eastAsia="Calibri" w:hAnsi="Calibri"/>
          <w:sz w:val="22"/>
          <w:szCs w:val="22"/>
          <w:lang w:val="nl-BE"/>
        </w:rPr>
        <w:t>Geachte,</w:t>
      </w:r>
      <w:r w:rsidRPr="0002545C">
        <w:rPr>
          <w:rFonts w:ascii="Calibri" w:eastAsia="Calibri" w:hAnsi="Calibri"/>
          <w:sz w:val="22"/>
          <w:szCs w:val="22"/>
          <w:lang w:val="nl-BE"/>
        </w:rPr>
        <w:t xml:space="preserve"> </w:t>
      </w:r>
    </w:p>
    <w:p w14:paraId="4C47C0C7" w14:textId="77777777" w:rsidR="0002545C" w:rsidRPr="0002545C" w:rsidRDefault="0002545C" w:rsidP="0002545C">
      <w:pPr>
        <w:spacing w:after="160" w:line="259" w:lineRule="auto"/>
        <w:jc w:val="both"/>
        <w:rPr>
          <w:rFonts w:ascii="Calibri" w:eastAsia="Calibri" w:hAnsi="Calibri"/>
          <w:sz w:val="22"/>
          <w:szCs w:val="22"/>
          <w:lang w:val="nl-BE"/>
        </w:rPr>
      </w:pPr>
    </w:p>
    <w:p w14:paraId="77BB64DC" w14:textId="77777777" w:rsidR="0002545C" w:rsidRPr="0002545C" w:rsidRDefault="0002545C" w:rsidP="0002545C">
      <w:pPr>
        <w:keepNext/>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Wij hebben de eer u verslag uit te brengen overeenkomstig artikel 1, §7 van het KB van 8 januari 1962 tot vaststelling van de voorwaarden tot erkenning van de groeperingen van coöperatieve vennootschappen en van de coöperatieve vennootschappen (het “KB”) welke het volgende bepaalt:</w:t>
      </w:r>
    </w:p>
    <w:p w14:paraId="6B195291" w14:textId="77777777" w:rsidR="0002545C" w:rsidRPr="0002545C" w:rsidRDefault="0002545C" w:rsidP="0002545C">
      <w:pPr>
        <w:spacing w:after="160" w:line="259" w:lineRule="auto"/>
        <w:jc w:val="both"/>
        <w:rPr>
          <w:rFonts w:ascii="Calibri" w:eastAsia="Calibri" w:hAnsi="Calibri"/>
          <w:i/>
          <w:iCs/>
          <w:sz w:val="22"/>
          <w:szCs w:val="22"/>
          <w:lang w:val="nl-BE"/>
        </w:rPr>
      </w:pPr>
      <w:r w:rsidRPr="0002545C">
        <w:rPr>
          <w:rFonts w:ascii="Calibri" w:eastAsia="Calibri" w:hAnsi="Calibri"/>
          <w:sz w:val="22"/>
          <w:szCs w:val="22"/>
          <w:lang w:val="nl-BE"/>
        </w:rPr>
        <w:t>“</w:t>
      </w:r>
      <w:r w:rsidRPr="0002545C">
        <w:rPr>
          <w:rFonts w:ascii="Calibri" w:eastAsia="Calibri" w:hAnsi="Calibri"/>
          <w:i/>
          <w:iCs/>
          <w:sz w:val="22"/>
          <w:szCs w:val="22"/>
          <w:lang w:val="nl-BE"/>
        </w:rPr>
        <w:t>De bestuurders stellen jaarlijks een bijzonder verslag op over de wijze waarop de vennootschap toezicht houdt op de erkenningsvoorwaarden, in het bijzonder deze bedoeld in paragraaf 1, 6° en 8°, dat in voorkomend geval, wordt ingevoegd in het jaarverslag dat overeenkomstig de artikelen [3:5 en 3:6 van het Wetboek van vennootschappen en verenigingen] wordt opgesteld. De bestuurders van de vennootschappen die niet gehouden zijn een jaarverslag op te stellen, bewaren het bijzonder verslag op de zetel van de vennootschap.”</w:t>
      </w:r>
    </w:p>
    <w:p w14:paraId="45816E40" w14:textId="77777777" w:rsidR="0002545C" w:rsidRPr="0002545C"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North Sea Wind is een erkende coöperatieve vennootschap waarvan de erkenning werd toegekend met ingang van 1 december 2018 voor onbepaalde duur zolang aan de erkenningsvoorwaarden wordt voldaan.</w:t>
      </w:r>
    </w:p>
    <w:p w14:paraId="116F648B" w14:textId="77777777" w:rsidR="0002545C" w:rsidRPr="0002545C"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 xml:space="preserve">De statuten van de vennootschap – welke op 28 november 2019 werden gewijzigd om deze in overeenstemming te brengen met het nieuwe Wetboek van vennootschappen en verenigingen – voldoen aan de erkenningsvoorwaarden vervat in artikel 1 van het KB. </w:t>
      </w:r>
    </w:p>
    <w:p w14:paraId="7970F36C" w14:textId="77777777" w:rsidR="0002545C" w:rsidRPr="0002545C"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Het is de raad van bestuur van North Sea Wind die waakt over het correct toepassen van deze erkenningsvoorwaarden.</w:t>
      </w:r>
    </w:p>
    <w:p w14:paraId="7D3768A5" w14:textId="77777777" w:rsidR="0002545C" w:rsidRPr="0002545C" w:rsidRDefault="0002545C" w:rsidP="0002545C">
      <w:pPr>
        <w:keepNext/>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1°</w:t>
      </w:r>
      <w:r w:rsidRPr="0002545C">
        <w:rPr>
          <w:rFonts w:ascii="Calibri" w:eastAsia="Calibri" w:hAnsi="Calibri"/>
          <w:sz w:val="22"/>
          <w:szCs w:val="22"/>
          <w:lang w:val="nl-BE"/>
        </w:rPr>
        <w:tab/>
        <w:t>Bepalingen i.v.m. toetreding en uitsluiting van aandeelhouders</w:t>
      </w:r>
    </w:p>
    <w:p w14:paraId="51B6903B" w14:textId="77777777" w:rsidR="0002545C" w:rsidRPr="0002545C"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 xml:space="preserve">Overeenkomstig artikel 10 van de statuten mag de vennootschap de toetreding van aandeelhouders niet weigeren, tenzij de desbetreffende personen niet voldoen aan de algemene toetredingsvoorwaarden, die eveneens in artikel 10 van de statuten vervat zijn, of daden verrichten die met de belangen van de vennootschap strijdig zijn. De raad van bestuur kan eveneens besluiten dat de vennootschap tijdelijk niet meer open is voor toetreding gelet op het reeds verzamelde eigen vermogen in verhouding tot de geplande projecten. </w:t>
      </w:r>
    </w:p>
    <w:p w14:paraId="63C7FEE0" w14:textId="77777777" w:rsidR="0002545C" w:rsidRPr="0002545C"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Overeenkomstig artikel 10 respectievelijk 14 van de statuten, kan een aandeelhouder worden geweigerd of uitgesloten middels een gemotiveerde beslissing t.a.v. de betrokken persoon.</w:t>
      </w:r>
    </w:p>
    <w:p w14:paraId="0A89B03E" w14:textId="77777777" w:rsidR="0002545C" w:rsidRPr="0002545C" w:rsidRDefault="0002545C" w:rsidP="0002545C">
      <w:pPr>
        <w:keepNext/>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2°</w:t>
      </w:r>
      <w:r w:rsidRPr="0002545C">
        <w:rPr>
          <w:rFonts w:ascii="Calibri" w:eastAsia="Calibri" w:hAnsi="Calibri"/>
          <w:sz w:val="22"/>
          <w:szCs w:val="22"/>
          <w:lang w:val="nl-BE"/>
        </w:rPr>
        <w:tab/>
        <w:t>Bepalingen i.v.m. de aan de aandelen verbonden rechten en verplichtingen</w:t>
      </w:r>
    </w:p>
    <w:p w14:paraId="5F3AFE55" w14:textId="77777777" w:rsidR="0002545C" w:rsidRPr="0002545C"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Er zijn twee categorieën van aandelen, zijnde aandelen van categorie A en aandelen van categorie B. Deze leiden, elk binnen hun eigen categorie, tot dezelfde rechten en verplichtingen.</w:t>
      </w:r>
    </w:p>
    <w:p w14:paraId="753BEB7A" w14:textId="77777777" w:rsidR="0002545C" w:rsidRPr="0002545C"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Bovendien hebben alle aandeelhouders op de algemene vergadering, overeenkomstig artikel 27 van de statuten, in alle zaken, een gelijk stemrecht, ongeacht het aantal aandelen dat zij bezitten.</w:t>
      </w:r>
    </w:p>
    <w:p w14:paraId="16C5970B" w14:textId="77777777" w:rsidR="0002545C" w:rsidRPr="0002545C" w:rsidRDefault="0002545C" w:rsidP="0002545C">
      <w:pPr>
        <w:keepNext/>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lastRenderedPageBreak/>
        <w:t>3.</w:t>
      </w:r>
      <w:r w:rsidRPr="0002545C">
        <w:rPr>
          <w:rFonts w:ascii="Calibri" w:eastAsia="Calibri" w:hAnsi="Calibri"/>
          <w:sz w:val="22"/>
          <w:szCs w:val="22"/>
          <w:lang w:val="nl-BE"/>
        </w:rPr>
        <w:tab/>
        <w:t>Bepalingen i.v.m. de benoeming van de bestuurders en de commissaris</w:t>
      </w:r>
    </w:p>
    <w:p w14:paraId="35402DE1" w14:textId="77777777" w:rsidR="0002545C" w:rsidRPr="0002545C"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 xml:space="preserve">Overeenkomstig artikel 17, wordt de vennootschap bestuurd door een raad van bestuur die samengesteld is uit minimum vier en maximum zes bestuurders, benoemd door de algemene vergadering. </w:t>
      </w:r>
    </w:p>
    <w:p w14:paraId="2ECA685D" w14:textId="77777777" w:rsidR="00C414BE" w:rsidRDefault="00375AAA" w:rsidP="0002545C">
      <w:pPr>
        <w:spacing w:after="160" w:line="259" w:lineRule="auto"/>
        <w:jc w:val="both"/>
        <w:rPr>
          <w:rFonts w:ascii="Calibri" w:eastAsia="Calibri" w:hAnsi="Calibri"/>
          <w:sz w:val="22"/>
          <w:szCs w:val="22"/>
          <w:lang w:val="nl-BE"/>
        </w:rPr>
      </w:pPr>
      <w:r>
        <w:rPr>
          <w:rFonts w:ascii="Calibri" w:eastAsia="Calibri" w:hAnsi="Calibri"/>
          <w:sz w:val="22"/>
          <w:szCs w:val="22"/>
          <w:lang w:val="nl-BE"/>
        </w:rPr>
        <w:t xml:space="preserve">De samenstelling van de raad van bestuur is ongewijzigd en de </w:t>
      </w:r>
      <w:r w:rsidR="00D421AE">
        <w:rPr>
          <w:rFonts w:ascii="Calibri" w:eastAsia="Calibri" w:hAnsi="Calibri"/>
          <w:sz w:val="22"/>
          <w:szCs w:val="22"/>
          <w:lang w:val="nl-BE"/>
        </w:rPr>
        <w:t>raad is op regelmatige tijdstippen bijeen</w:t>
      </w:r>
      <w:r w:rsidR="00B503BF">
        <w:rPr>
          <w:rFonts w:ascii="Calibri" w:eastAsia="Calibri" w:hAnsi="Calibri"/>
          <w:sz w:val="22"/>
          <w:szCs w:val="22"/>
          <w:lang w:val="nl-BE"/>
        </w:rPr>
        <w:t xml:space="preserve">gekomen </w:t>
      </w:r>
      <w:r w:rsidR="00C414BE">
        <w:rPr>
          <w:rFonts w:ascii="Calibri" w:eastAsia="Calibri" w:hAnsi="Calibri"/>
          <w:sz w:val="22"/>
          <w:szCs w:val="22"/>
          <w:lang w:val="nl-BE"/>
        </w:rPr>
        <w:t xml:space="preserve">om zich te beraden over de toestand van de vennootschap. </w:t>
      </w:r>
    </w:p>
    <w:p w14:paraId="52EC3832" w14:textId="091836BC" w:rsidR="0002545C" w:rsidRPr="0002545C"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 xml:space="preserve">Het mandaat van bestuurder is </w:t>
      </w:r>
      <w:r w:rsidR="00C414BE">
        <w:rPr>
          <w:rFonts w:ascii="Calibri" w:eastAsia="Calibri" w:hAnsi="Calibri"/>
          <w:sz w:val="22"/>
          <w:szCs w:val="22"/>
          <w:lang w:val="nl-BE"/>
        </w:rPr>
        <w:t xml:space="preserve">nog steeds </w:t>
      </w:r>
      <w:r w:rsidRPr="0002545C">
        <w:rPr>
          <w:rFonts w:ascii="Calibri" w:eastAsia="Calibri" w:hAnsi="Calibri"/>
          <w:sz w:val="22"/>
          <w:szCs w:val="22"/>
          <w:lang w:val="nl-BE"/>
        </w:rPr>
        <w:t xml:space="preserve">onbezoldigd. Als de bestuurders een opdracht vervullen met bijzondere of vaste prestaties, dan mag hiervoor een verloning toegekend worden. Deze verloning mag in geen geval een participatie in de vennootschapswinst zijn en dient te worden vastgesteld door de algemene vergadering. </w:t>
      </w:r>
    </w:p>
    <w:p w14:paraId="4B34ABE2" w14:textId="5C027F49" w:rsidR="0002545C" w:rsidRPr="0002545C"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Overeenkomstig artikel 22 wordt ook de commissaris benoemd door de algemene vergadering.</w:t>
      </w:r>
      <w:r w:rsidR="009A27BD">
        <w:rPr>
          <w:rFonts w:ascii="Calibri" w:eastAsia="Calibri" w:hAnsi="Calibri"/>
          <w:sz w:val="22"/>
          <w:szCs w:val="22"/>
          <w:lang w:val="nl-BE"/>
        </w:rPr>
        <w:t xml:space="preserve"> Het mandaat van de huidige commissaris </w:t>
      </w:r>
      <w:r w:rsidR="00E510D8">
        <w:rPr>
          <w:rFonts w:ascii="Calibri" w:eastAsia="Calibri" w:hAnsi="Calibri"/>
          <w:sz w:val="22"/>
          <w:szCs w:val="22"/>
          <w:lang w:val="nl-BE"/>
        </w:rPr>
        <w:t>loopt teneinde op de jaarvergadering van 202</w:t>
      </w:r>
      <w:r w:rsidR="00804049">
        <w:rPr>
          <w:rFonts w:ascii="Calibri" w:eastAsia="Calibri" w:hAnsi="Calibri"/>
          <w:sz w:val="22"/>
          <w:szCs w:val="22"/>
          <w:lang w:val="nl-BE"/>
        </w:rPr>
        <w:t>5</w:t>
      </w:r>
      <w:r w:rsidR="00E510D8">
        <w:rPr>
          <w:rFonts w:ascii="Calibri" w:eastAsia="Calibri" w:hAnsi="Calibri"/>
          <w:sz w:val="22"/>
          <w:szCs w:val="22"/>
          <w:lang w:val="nl-BE"/>
        </w:rPr>
        <w:t xml:space="preserve">. </w:t>
      </w:r>
    </w:p>
    <w:p w14:paraId="3EB2CF26" w14:textId="77777777" w:rsidR="0002545C" w:rsidRPr="0002545C" w:rsidRDefault="0002545C" w:rsidP="0002545C">
      <w:pPr>
        <w:keepNext/>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4.</w:t>
      </w:r>
      <w:r w:rsidRPr="0002545C">
        <w:rPr>
          <w:rFonts w:ascii="Calibri" w:eastAsia="Calibri" w:hAnsi="Calibri"/>
          <w:sz w:val="22"/>
          <w:szCs w:val="22"/>
          <w:lang w:val="nl-BE"/>
        </w:rPr>
        <w:tab/>
        <w:t>Bepalingen in verband met het dividend</w:t>
      </w:r>
    </w:p>
    <w:p w14:paraId="6CC1BAAC" w14:textId="77777777" w:rsidR="0002545C" w:rsidRPr="0002545C"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Overeenkomstig artikel 32 van de statuten, bedraagt het dividend per aandeel op jaarbasis maximaal het percentage zoals vastgesteld conform het KB, zijnde 6 procent van de nominale waarde van de aandelen, na aftrek van de roerende voorheffing. Bovendien mag de eventuele toe te kennen ristorno alleen aan de aandeelhouders worden uitgekeerd naar rato van de verrichtingen die zij met de vennootschap hebben gedaan.</w:t>
      </w:r>
    </w:p>
    <w:p w14:paraId="5F233877" w14:textId="1E1364C7" w:rsidR="0002545C" w:rsidRPr="0002545C"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 xml:space="preserve">Aan de algemene vergadering van </w:t>
      </w:r>
      <w:r w:rsidR="00CD0AB1">
        <w:rPr>
          <w:rFonts w:ascii="Calibri" w:eastAsia="Calibri" w:hAnsi="Calibri"/>
          <w:sz w:val="22"/>
          <w:szCs w:val="22"/>
          <w:lang w:val="nl-BE"/>
        </w:rPr>
        <w:t xml:space="preserve"> 2024</w:t>
      </w:r>
      <w:r w:rsidRPr="0002545C">
        <w:rPr>
          <w:rFonts w:ascii="Calibri" w:eastAsia="Calibri" w:hAnsi="Calibri"/>
          <w:sz w:val="22"/>
          <w:szCs w:val="22"/>
          <w:lang w:val="nl-BE"/>
        </w:rPr>
        <w:t xml:space="preserve"> zal een bruto dividend </w:t>
      </w:r>
      <w:r w:rsidRPr="00B6661F">
        <w:rPr>
          <w:rFonts w:ascii="Calibri" w:eastAsia="Calibri" w:hAnsi="Calibri"/>
          <w:sz w:val="22"/>
          <w:szCs w:val="22"/>
          <w:lang w:val="nl-BE"/>
        </w:rPr>
        <w:t xml:space="preserve">van </w:t>
      </w:r>
      <w:r w:rsidRPr="001921A1">
        <w:rPr>
          <w:rFonts w:ascii="Calibri" w:eastAsia="Calibri" w:hAnsi="Calibri"/>
          <w:sz w:val="22"/>
          <w:szCs w:val="22"/>
          <w:lang w:val="nl-BE"/>
        </w:rPr>
        <w:t xml:space="preserve">EUR </w:t>
      </w:r>
      <w:r w:rsidR="00CD0AB1" w:rsidRPr="001921A1">
        <w:rPr>
          <w:rFonts w:ascii="Calibri" w:eastAsia="Calibri" w:hAnsi="Calibri"/>
          <w:sz w:val="22"/>
          <w:szCs w:val="22"/>
          <w:lang w:val="nl-BE"/>
        </w:rPr>
        <w:t>0,44</w:t>
      </w:r>
      <w:r w:rsidR="00CD0AB1">
        <w:rPr>
          <w:rFonts w:ascii="Calibri" w:eastAsia="Calibri" w:hAnsi="Calibri"/>
          <w:sz w:val="22"/>
          <w:szCs w:val="22"/>
          <w:lang w:val="nl-BE"/>
        </w:rPr>
        <w:t xml:space="preserve"> </w:t>
      </w:r>
      <w:r w:rsidRPr="00B6661F">
        <w:rPr>
          <w:rFonts w:ascii="Calibri" w:eastAsia="Calibri" w:hAnsi="Calibri"/>
          <w:sz w:val="22"/>
          <w:szCs w:val="22"/>
          <w:lang w:val="nl-BE"/>
        </w:rPr>
        <w:t>(afgerond</w:t>
      </w:r>
      <w:r w:rsidRPr="0002545C">
        <w:rPr>
          <w:rFonts w:ascii="Calibri" w:eastAsia="Calibri" w:hAnsi="Calibri"/>
          <w:sz w:val="22"/>
          <w:szCs w:val="22"/>
          <w:lang w:val="nl-BE"/>
        </w:rPr>
        <w:t xml:space="preserve">) per aandeel worden voorgesteld ter goedkeuring, zijnde </w:t>
      </w:r>
      <w:r w:rsidR="00CD0AB1" w:rsidRPr="001921A1">
        <w:rPr>
          <w:rFonts w:ascii="Calibri" w:eastAsia="Calibri" w:hAnsi="Calibri"/>
          <w:sz w:val="22"/>
          <w:szCs w:val="22"/>
          <w:lang w:val="nl-BE"/>
        </w:rPr>
        <w:t>4,4</w:t>
      </w:r>
      <w:r w:rsidR="00AF2FC5">
        <w:rPr>
          <w:rFonts w:ascii="Calibri" w:eastAsia="Calibri" w:hAnsi="Calibri"/>
          <w:sz w:val="22"/>
          <w:szCs w:val="22"/>
          <w:lang w:val="nl-BE"/>
        </w:rPr>
        <w:t xml:space="preserve"> </w:t>
      </w:r>
      <w:r w:rsidRPr="001C74E7">
        <w:rPr>
          <w:rFonts w:ascii="Calibri" w:eastAsia="Calibri" w:hAnsi="Calibri"/>
          <w:sz w:val="22"/>
          <w:szCs w:val="22"/>
          <w:lang w:val="nl-BE"/>
        </w:rPr>
        <w:t>procent van</w:t>
      </w:r>
      <w:r w:rsidRPr="0002545C">
        <w:rPr>
          <w:rFonts w:ascii="Calibri" w:eastAsia="Calibri" w:hAnsi="Calibri"/>
          <w:sz w:val="22"/>
          <w:szCs w:val="22"/>
          <w:lang w:val="nl-BE"/>
        </w:rPr>
        <w:t xml:space="preserve"> de nominale waarde van de aandelen, vóór aftrek van de roerende voorheffing.</w:t>
      </w:r>
    </w:p>
    <w:p w14:paraId="653A214B" w14:textId="77777777" w:rsidR="0002545C" w:rsidRPr="0002545C" w:rsidRDefault="0002545C" w:rsidP="0002545C">
      <w:pPr>
        <w:keepNext/>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5.</w:t>
      </w:r>
      <w:r w:rsidRPr="0002545C">
        <w:rPr>
          <w:rFonts w:ascii="Calibri" w:eastAsia="Calibri" w:hAnsi="Calibri"/>
          <w:sz w:val="22"/>
          <w:szCs w:val="22"/>
          <w:lang w:val="nl-BE"/>
        </w:rPr>
        <w:tab/>
        <w:t>Bepalingen i.v.m. verschaffen van een economisch of sociaal voordeel aan de aandeelhouders</w:t>
      </w:r>
    </w:p>
    <w:p w14:paraId="33473574" w14:textId="77777777" w:rsidR="00DD1F89"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De vennootschap biedt het brede publiek de mogelijkheid om mee te investeren in de ondersteuning van offshore windenergieprojecten in de Belgische Noordzee en op die manier deel uit te maken van duurzame verandering en de noodzakelijke transitie richting hernieuwbare energiebronnen. Naast winst voor het milieu – en dus ook voor toekomstige generaties – zit er ook winst voor de aandeelhouders in: er wordt een niet-gegarandeerd bruto actuarieel rendement van ongeveer 4% beoogd over de looptijd van hun investering.</w:t>
      </w:r>
    </w:p>
    <w:p w14:paraId="150428E3" w14:textId="1562FC7E" w:rsidR="00623168" w:rsidRDefault="00DD1F89" w:rsidP="0002545C">
      <w:pPr>
        <w:spacing w:after="160" w:line="259" w:lineRule="auto"/>
        <w:jc w:val="both"/>
        <w:rPr>
          <w:rFonts w:ascii="Calibri" w:eastAsia="Calibri" w:hAnsi="Calibri"/>
          <w:sz w:val="22"/>
          <w:szCs w:val="22"/>
          <w:lang w:val="nl-BE"/>
        </w:rPr>
      </w:pPr>
      <w:r>
        <w:rPr>
          <w:rFonts w:ascii="Calibri" w:eastAsia="Calibri" w:hAnsi="Calibri"/>
          <w:sz w:val="22"/>
          <w:szCs w:val="22"/>
          <w:lang w:val="nl-BE"/>
        </w:rPr>
        <w:t xml:space="preserve">De vennootschap </w:t>
      </w:r>
      <w:r w:rsidR="00C16D56">
        <w:rPr>
          <w:rFonts w:ascii="Calibri" w:eastAsia="Calibri" w:hAnsi="Calibri"/>
          <w:sz w:val="22"/>
          <w:szCs w:val="22"/>
          <w:lang w:val="nl-BE"/>
        </w:rPr>
        <w:t xml:space="preserve">interageert met de beleidsmakers, en </w:t>
      </w:r>
      <w:r w:rsidR="00266840">
        <w:rPr>
          <w:rFonts w:ascii="Calibri" w:eastAsia="Calibri" w:hAnsi="Calibri"/>
          <w:sz w:val="22"/>
          <w:szCs w:val="22"/>
          <w:lang w:val="nl-BE"/>
        </w:rPr>
        <w:t>blijft bijdragen</w:t>
      </w:r>
      <w:r w:rsidR="008B09BA">
        <w:rPr>
          <w:rFonts w:ascii="Calibri" w:eastAsia="Calibri" w:hAnsi="Calibri"/>
          <w:sz w:val="22"/>
          <w:szCs w:val="22"/>
          <w:lang w:val="nl-BE"/>
        </w:rPr>
        <w:t xml:space="preserve"> aan de </w:t>
      </w:r>
      <w:r w:rsidR="00470919">
        <w:rPr>
          <w:rFonts w:ascii="Calibri" w:eastAsia="Calibri" w:hAnsi="Calibri"/>
          <w:sz w:val="22"/>
          <w:szCs w:val="22"/>
          <w:lang w:val="nl-BE"/>
        </w:rPr>
        <w:t xml:space="preserve">voorbereidingen van de tender voor </w:t>
      </w:r>
      <w:r w:rsidR="006A79C4">
        <w:rPr>
          <w:rFonts w:ascii="Calibri" w:eastAsia="Calibri" w:hAnsi="Calibri"/>
          <w:sz w:val="22"/>
          <w:szCs w:val="22"/>
          <w:lang w:val="nl-BE"/>
        </w:rPr>
        <w:t xml:space="preserve">de tweede Belgische offshorewind zone, de Prinses Elisabeth-zone. </w:t>
      </w:r>
      <w:r w:rsidR="00DE6A4E">
        <w:rPr>
          <w:rFonts w:ascii="Calibri" w:eastAsia="Calibri" w:hAnsi="Calibri"/>
          <w:sz w:val="22"/>
          <w:szCs w:val="22"/>
          <w:lang w:val="nl-BE"/>
        </w:rPr>
        <w:t xml:space="preserve">Burgerparticipatie is naar voren geschoven als één van de mogelijk beoordelingscriteria. </w:t>
      </w:r>
      <w:r w:rsidR="00470919">
        <w:rPr>
          <w:rFonts w:ascii="Calibri" w:eastAsia="Calibri" w:hAnsi="Calibri"/>
          <w:sz w:val="22"/>
          <w:szCs w:val="22"/>
          <w:lang w:val="nl-BE"/>
        </w:rPr>
        <w:t>D</w:t>
      </w:r>
      <w:r w:rsidR="00F0174F">
        <w:rPr>
          <w:rFonts w:ascii="Calibri" w:eastAsia="Calibri" w:hAnsi="Calibri"/>
          <w:sz w:val="22"/>
          <w:szCs w:val="22"/>
          <w:lang w:val="nl-BE"/>
        </w:rPr>
        <w:t xml:space="preserve">e </w:t>
      </w:r>
      <w:r w:rsidR="00470919">
        <w:rPr>
          <w:rFonts w:ascii="Calibri" w:eastAsia="Calibri" w:hAnsi="Calibri"/>
          <w:sz w:val="22"/>
          <w:szCs w:val="22"/>
          <w:lang w:val="nl-BE"/>
        </w:rPr>
        <w:t>V</w:t>
      </w:r>
      <w:r w:rsidR="00F0174F">
        <w:rPr>
          <w:rFonts w:ascii="Calibri" w:eastAsia="Calibri" w:hAnsi="Calibri"/>
          <w:sz w:val="22"/>
          <w:szCs w:val="22"/>
          <w:lang w:val="nl-BE"/>
        </w:rPr>
        <w:t>ennootschap</w:t>
      </w:r>
      <w:r w:rsidR="00470919">
        <w:rPr>
          <w:rFonts w:ascii="Calibri" w:eastAsia="Calibri" w:hAnsi="Calibri"/>
          <w:sz w:val="22"/>
          <w:szCs w:val="22"/>
          <w:lang w:val="nl-BE"/>
        </w:rPr>
        <w:t xml:space="preserve"> blijft samen met de belange</w:t>
      </w:r>
      <w:r w:rsidR="003D7EC3">
        <w:rPr>
          <w:rFonts w:ascii="Calibri" w:eastAsia="Calibri" w:hAnsi="Calibri"/>
          <w:sz w:val="22"/>
          <w:szCs w:val="22"/>
          <w:lang w:val="nl-BE"/>
        </w:rPr>
        <w:t>n</w:t>
      </w:r>
      <w:r w:rsidR="00470919">
        <w:rPr>
          <w:rFonts w:ascii="Calibri" w:eastAsia="Calibri" w:hAnsi="Calibri"/>
          <w:sz w:val="22"/>
          <w:szCs w:val="22"/>
          <w:lang w:val="nl-BE"/>
        </w:rPr>
        <w:t>vereniging Copias</w:t>
      </w:r>
      <w:r w:rsidR="00F0174F">
        <w:rPr>
          <w:rFonts w:ascii="Calibri" w:eastAsia="Calibri" w:hAnsi="Calibri"/>
          <w:sz w:val="22"/>
          <w:szCs w:val="22"/>
          <w:lang w:val="nl-BE"/>
        </w:rPr>
        <w:t xml:space="preserve"> haar visie en ervaring naar voren brengt om burgerparticipatie in offshore wind</w:t>
      </w:r>
      <w:r w:rsidR="007D0E28">
        <w:rPr>
          <w:rFonts w:ascii="Calibri" w:eastAsia="Calibri" w:hAnsi="Calibri"/>
          <w:sz w:val="22"/>
          <w:szCs w:val="22"/>
          <w:lang w:val="nl-BE"/>
        </w:rPr>
        <w:t>, ongeacht de vorm,</w:t>
      </w:r>
      <w:r w:rsidR="00F0174F">
        <w:rPr>
          <w:rFonts w:ascii="Calibri" w:eastAsia="Calibri" w:hAnsi="Calibri"/>
          <w:sz w:val="22"/>
          <w:szCs w:val="22"/>
          <w:lang w:val="nl-BE"/>
        </w:rPr>
        <w:t xml:space="preserve"> op een professionele </w:t>
      </w:r>
      <w:r w:rsidR="008907CE">
        <w:rPr>
          <w:rFonts w:ascii="Calibri" w:eastAsia="Calibri" w:hAnsi="Calibri"/>
          <w:sz w:val="22"/>
          <w:szCs w:val="22"/>
          <w:lang w:val="nl-BE"/>
        </w:rPr>
        <w:t xml:space="preserve">en verantwoorde </w:t>
      </w:r>
      <w:r w:rsidR="005371E3">
        <w:rPr>
          <w:rFonts w:ascii="Calibri" w:eastAsia="Calibri" w:hAnsi="Calibri"/>
          <w:sz w:val="22"/>
          <w:szCs w:val="22"/>
          <w:lang w:val="nl-BE"/>
        </w:rPr>
        <w:t xml:space="preserve">manier een realistische plaats te geven </w:t>
      </w:r>
      <w:r w:rsidR="00F52F70">
        <w:rPr>
          <w:rFonts w:ascii="Calibri" w:eastAsia="Calibri" w:hAnsi="Calibri"/>
          <w:sz w:val="22"/>
          <w:szCs w:val="22"/>
          <w:lang w:val="nl-BE"/>
        </w:rPr>
        <w:t>in de tendercriteria</w:t>
      </w:r>
      <w:r w:rsidR="007733DF">
        <w:rPr>
          <w:rFonts w:ascii="Calibri" w:eastAsia="Calibri" w:hAnsi="Calibri"/>
          <w:sz w:val="22"/>
          <w:szCs w:val="22"/>
          <w:lang w:val="nl-BE"/>
        </w:rPr>
        <w:t xml:space="preserve">, maar ook om de kansen op effectieve </w:t>
      </w:r>
      <w:r w:rsidR="0002270D">
        <w:rPr>
          <w:rFonts w:ascii="Calibri" w:eastAsia="Calibri" w:hAnsi="Calibri"/>
          <w:sz w:val="22"/>
          <w:szCs w:val="22"/>
          <w:lang w:val="nl-BE"/>
        </w:rPr>
        <w:t xml:space="preserve">en succesvolle </w:t>
      </w:r>
      <w:r w:rsidR="007733DF">
        <w:rPr>
          <w:rFonts w:ascii="Calibri" w:eastAsia="Calibri" w:hAnsi="Calibri"/>
          <w:sz w:val="22"/>
          <w:szCs w:val="22"/>
          <w:lang w:val="nl-BE"/>
        </w:rPr>
        <w:t xml:space="preserve">verwezenlijking van burgerparticipatie in deze tweede zone </w:t>
      </w:r>
      <w:r w:rsidR="00154E4D">
        <w:rPr>
          <w:rFonts w:ascii="Calibri" w:eastAsia="Calibri" w:hAnsi="Calibri"/>
          <w:sz w:val="22"/>
          <w:szCs w:val="22"/>
          <w:lang w:val="nl-BE"/>
        </w:rPr>
        <w:t>te vrijwaren</w:t>
      </w:r>
      <w:r w:rsidR="00F52F70">
        <w:rPr>
          <w:rFonts w:ascii="Calibri" w:eastAsia="Calibri" w:hAnsi="Calibri"/>
          <w:sz w:val="22"/>
          <w:szCs w:val="22"/>
          <w:lang w:val="nl-BE"/>
        </w:rPr>
        <w:t xml:space="preserve">. </w:t>
      </w:r>
    </w:p>
    <w:p w14:paraId="021C21F3" w14:textId="1AB476FE" w:rsidR="0002545C" w:rsidRPr="0002545C" w:rsidRDefault="00623168" w:rsidP="0002545C">
      <w:pPr>
        <w:spacing w:after="160" w:line="259" w:lineRule="auto"/>
        <w:jc w:val="both"/>
        <w:rPr>
          <w:rFonts w:ascii="Calibri" w:eastAsia="Calibri" w:hAnsi="Calibri"/>
          <w:sz w:val="22"/>
          <w:szCs w:val="22"/>
          <w:lang w:val="nl-BE"/>
        </w:rPr>
      </w:pPr>
      <w:r>
        <w:rPr>
          <w:rFonts w:ascii="Calibri" w:eastAsia="Calibri" w:hAnsi="Calibri"/>
          <w:sz w:val="22"/>
          <w:szCs w:val="22"/>
          <w:lang w:val="nl-BE"/>
        </w:rPr>
        <w:t xml:space="preserve">Het spreekt voor zich dat de vennootschap </w:t>
      </w:r>
      <w:r w:rsidR="00985CD6">
        <w:rPr>
          <w:rFonts w:ascii="Calibri" w:eastAsia="Calibri" w:hAnsi="Calibri"/>
          <w:sz w:val="22"/>
          <w:szCs w:val="22"/>
          <w:lang w:val="nl-BE"/>
        </w:rPr>
        <w:t xml:space="preserve">zich zal voorbereiden om hierin een concrete rol te kunnen blijven spelen. </w:t>
      </w:r>
      <w:r w:rsidR="0002545C" w:rsidRPr="0002545C">
        <w:rPr>
          <w:rFonts w:ascii="Calibri" w:eastAsia="Calibri" w:hAnsi="Calibri"/>
          <w:sz w:val="22"/>
          <w:szCs w:val="22"/>
          <w:lang w:val="nl-BE"/>
        </w:rPr>
        <w:t xml:space="preserve"> </w:t>
      </w:r>
    </w:p>
    <w:p w14:paraId="6F79B0E2" w14:textId="117D37CE" w:rsidR="000F299C" w:rsidRPr="0002545C" w:rsidRDefault="000F299C" w:rsidP="0002545C">
      <w:pPr>
        <w:spacing w:after="160" w:line="259" w:lineRule="auto"/>
        <w:jc w:val="both"/>
        <w:rPr>
          <w:rFonts w:ascii="Calibri" w:eastAsia="Calibri" w:hAnsi="Calibri"/>
          <w:sz w:val="22"/>
          <w:szCs w:val="22"/>
          <w:lang w:val="nl-BE"/>
        </w:rPr>
      </w:pPr>
      <w:r>
        <w:rPr>
          <w:rFonts w:ascii="Calibri" w:eastAsia="Calibri" w:hAnsi="Calibri"/>
          <w:sz w:val="22"/>
          <w:szCs w:val="22"/>
          <w:lang w:val="nl-BE"/>
        </w:rPr>
        <w:t xml:space="preserve">Tot slot werkt de vennootschap actief </w:t>
      </w:r>
      <w:r w:rsidR="00893797">
        <w:rPr>
          <w:rFonts w:ascii="Calibri" w:eastAsia="Calibri" w:hAnsi="Calibri"/>
          <w:sz w:val="22"/>
          <w:szCs w:val="22"/>
          <w:lang w:val="nl-BE"/>
        </w:rPr>
        <w:t xml:space="preserve">mee </w:t>
      </w:r>
      <w:r w:rsidR="00097EAA">
        <w:rPr>
          <w:rFonts w:ascii="Calibri" w:eastAsia="Calibri" w:hAnsi="Calibri"/>
          <w:sz w:val="22"/>
          <w:szCs w:val="22"/>
          <w:lang w:val="nl-BE"/>
        </w:rPr>
        <w:t xml:space="preserve">aan de </w:t>
      </w:r>
      <w:r w:rsidR="007D0E28">
        <w:rPr>
          <w:rFonts w:ascii="Calibri" w:eastAsia="Calibri" w:hAnsi="Calibri"/>
          <w:sz w:val="22"/>
          <w:szCs w:val="22"/>
          <w:lang w:val="nl-BE"/>
        </w:rPr>
        <w:t xml:space="preserve">verdere </w:t>
      </w:r>
      <w:r w:rsidR="00097EAA">
        <w:rPr>
          <w:rFonts w:ascii="Calibri" w:eastAsia="Calibri" w:hAnsi="Calibri"/>
          <w:sz w:val="22"/>
          <w:szCs w:val="22"/>
          <w:lang w:val="nl-BE"/>
        </w:rPr>
        <w:t>uitbouw van Copi</w:t>
      </w:r>
      <w:r w:rsidR="00733831">
        <w:rPr>
          <w:rFonts w:ascii="Calibri" w:eastAsia="Calibri" w:hAnsi="Calibri"/>
          <w:sz w:val="22"/>
          <w:szCs w:val="22"/>
          <w:lang w:val="nl-BE"/>
        </w:rPr>
        <w:t>a</w:t>
      </w:r>
      <w:r w:rsidR="00097EAA">
        <w:rPr>
          <w:rFonts w:ascii="Calibri" w:eastAsia="Calibri" w:hAnsi="Calibri"/>
          <w:sz w:val="22"/>
          <w:szCs w:val="22"/>
          <w:lang w:val="nl-BE"/>
        </w:rPr>
        <w:t xml:space="preserve">s, een vereniging van hernieuwbare energiecoöperaties </w:t>
      </w:r>
      <w:r w:rsidR="00695601">
        <w:rPr>
          <w:rFonts w:ascii="Calibri" w:eastAsia="Calibri" w:hAnsi="Calibri"/>
          <w:sz w:val="22"/>
          <w:szCs w:val="22"/>
          <w:lang w:val="nl-BE"/>
        </w:rPr>
        <w:t xml:space="preserve">die </w:t>
      </w:r>
      <w:r w:rsidR="008E2674">
        <w:rPr>
          <w:rFonts w:ascii="Calibri" w:eastAsia="Calibri" w:hAnsi="Calibri"/>
          <w:sz w:val="22"/>
          <w:szCs w:val="22"/>
          <w:lang w:val="nl-BE"/>
        </w:rPr>
        <w:t>alle vormen van coöperatie wil promoten</w:t>
      </w:r>
      <w:r w:rsidR="000D20F7">
        <w:rPr>
          <w:rFonts w:ascii="Calibri" w:eastAsia="Calibri" w:hAnsi="Calibri"/>
          <w:sz w:val="22"/>
          <w:szCs w:val="22"/>
          <w:lang w:val="nl-BE"/>
        </w:rPr>
        <w:t>, ondersteunen</w:t>
      </w:r>
      <w:r w:rsidR="008E2674">
        <w:rPr>
          <w:rFonts w:ascii="Calibri" w:eastAsia="Calibri" w:hAnsi="Calibri"/>
          <w:sz w:val="22"/>
          <w:szCs w:val="22"/>
          <w:lang w:val="nl-BE"/>
        </w:rPr>
        <w:t xml:space="preserve"> en </w:t>
      </w:r>
      <w:r w:rsidR="000227A9">
        <w:rPr>
          <w:rFonts w:ascii="Calibri" w:eastAsia="Calibri" w:hAnsi="Calibri"/>
          <w:sz w:val="22"/>
          <w:szCs w:val="22"/>
          <w:lang w:val="nl-BE"/>
        </w:rPr>
        <w:t xml:space="preserve">het draagvlak in het algemeen wil versterken. </w:t>
      </w:r>
    </w:p>
    <w:p w14:paraId="0C4F29BE" w14:textId="77777777" w:rsidR="0002545C" w:rsidRPr="0002545C" w:rsidRDefault="0002545C" w:rsidP="0002545C">
      <w:pPr>
        <w:keepNext/>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lastRenderedPageBreak/>
        <w:t>6.</w:t>
      </w:r>
      <w:r w:rsidRPr="0002545C">
        <w:rPr>
          <w:rFonts w:ascii="Calibri" w:eastAsia="Calibri" w:hAnsi="Calibri"/>
          <w:sz w:val="22"/>
          <w:szCs w:val="22"/>
          <w:lang w:val="nl-BE"/>
        </w:rPr>
        <w:tab/>
        <w:t>Bepalingen i.v.m. informatieverstrekking aan en opleiding van aandeelhouders of het grote publiek</w:t>
      </w:r>
    </w:p>
    <w:p w14:paraId="540115EC" w14:textId="77777777" w:rsidR="0002545C" w:rsidRPr="0002545C"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 xml:space="preserve">Een deel van de jaarlijkse middelen van de vennootschap wordt ingezet om haar aandeelhouders, in de eerste plaats, maar ook het ruime publiek te blijven informeren over de realisaties en het potentieel van offshore windenergie en hernieuwbare energie en zo het lokaal en maatschappelijk draagvlak hiervoor te vergroten. </w:t>
      </w:r>
    </w:p>
    <w:p w14:paraId="1B5E86B9" w14:textId="28EC25C7" w:rsidR="00852BB7" w:rsidRDefault="0002545C" w:rsidP="0002545C">
      <w:pPr>
        <w:spacing w:after="160" w:line="259" w:lineRule="auto"/>
        <w:jc w:val="both"/>
        <w:rPr>
          <w:rFonts w:ascii="Calibri" w:eastAsia="Calibri" w:hAnsi="Calibri"/>
          <w:sz w:val="22"/>
          <w:szCs w:val="22"/>
          <w:lang w:val="nl-BE"/>
        </w:rPr>
      </w:pPr>
      <w:r w:rsidRPr="0002545C">
        <w:rPr>
          <w:rFonts w:ascii="Calibri" w:eastAsia="Calibri" w:hAnsi="Calibri"/>
          <w:sz w:val="22"/>
          <w:szCs w:val="22"/>
          <w:lang w:val="nl-BE"/>
        </w:rPr>
        <w:t xml:space="preserve">Zoals reeds vermeld in ons vorig bijzonder verslag over de wijze waarop de vennootschap toezicht houdt op de </w:t>
      </w:r>
      <w:r w:rsidRPr="00A37093">
        <w:rPr>
          <w:rFonts w:ascii="Calibri" w:eastAsia="Calibri" w:hAnsi="Calibri"/>
          <w:sz w:val="22"/>
          <w:szCs w:val="22"/>
          <w:lang w:val="nl-BE"/>
        </w:rPr>
        <w:t>erkenningsvoorwaarden, heeft de vennootschap in dat verband ook in 202</w:t>
      </w:r>
      <w:r w:rsidR="00F65D55">
        <w:rPr>
          <w:rFonts w:ascii="Calibri" w:eastAsia="Calibri" w:hAnsi="Calibri"/>
          <w:sz w:val="22"/>
          <w:szCs w:val="22"/>
          <w:lang w:val="nl-BE"/>
        </w:rPr>
        <w:t>3</w:t>
      </w:r>
      <w:r w:rsidRPr="00A37093">
        <w:rPr>
          <w:rFonts w:ascii="Calibri" w:eastAsia="Calibri" w:hAnsi="Calibri"/>
          <w:sz w:val="22"/>
          <w:szCs w:val="22"/>
          <w:lang w:val="nl-BE"/>
        </w:rPr>
        <w:t xml:space="preserve"> niet stilgezeten. </w:t>
      </w:r>
    </w:p>
    <w:p w14:paraId="5F9CF3E6" w14:textId="26086B1B" w:rsidR="003F7C8F" w:rsidRDefault="003F7C8F" w:rsidP="0002545C">
      <w:pPr>
        <w:spacing w:after="160" w:line="259" w:lineRule="auto"/>
        <w:jc w:val="both"/>
        <w:rPr>
          <w:rFonts w:ascii="Calibri" w:eastAsia="Calibri" w:hAnsi="Calibri"/>
          <w:sz w:val="22"/>
          <w:szCs w:val="22"/>
          <w:lang w:val="nl-BE"/>
        </w:rPr>
      </w:pPr>
      <w:r>
        <w:rPr>
          <w:rFonts w:ascii="Calibri" w:eastAsia="Calibri" w:hAnsi="Calibri"/>
          <w:sz w:val="22"/>
          <w:szCs w:val="22"/>
          <w:lang w:val="nl-BE"/>
        </w:rPr>
        <w:t xml:space="preserve">Zo werd in 2023 de algemene vergadering op </w:t>
      </w:r>
      <w:r w:rsidR="00C26DA0">
        <w:rPr>
          <w:rFonts w:ascii="Calibri" w:eastAsia="Calibri" w:hAnsi="Calibri"/>
          <w:sz w:val="22"/>
          <w:szCs w:val="22"/>
          <w:lang w:val="nl-BE"/>
        </w:rPr>
        <w:t>hybride wijze georganiseerd om een nieuwe fysieke ontmoeting met de coöperanten mogelijk te maken</w:t>
      </w:r>
      <w:r w:rsidR="00606328">
        <w:rPr>
          <w:rFonts w:ascii="Calibri" w:eastAsia="Calibri" w:hAnsi="Calibri"/>
          <w:sz w:val="22"/>
          <w:szCs w:val="22"/>
          <w:lang w:val="nl-BE"/>
        </w:rPr>
        <w:t xml:space="preserve">, zonder dat een verplaatsing nodig was voor het volgen van de algemene vergadering. No het formele gedeelte werd de toekomst van offshore wind in België verder toegelicht door een Parkwind medewerker. </w:t>
      </w:r>
    </w:p>
    <w:p w14:paraId="65CD63EA" w14:textId="0C71B20F" w:rsidR="00124523" w:rsidRDefault="00124523" w:rsidP="0002545C">
      <w:pPr>
        <w:spacing w:after="160" w:line="259" w:lineRule="auto"/>
        <w:jc w:val="both"/>
        <w:rPr>
          <w:rFonts w:ascii="Calibri" w:eastAsia="Calibri" w:hAnsi="Calibri"/>
          <w:sz w:val="22"/>
          <w:szCs w:val="22"/>
          <w:lang w:val="nl-BE"/>
        </w:rPr>
      </w:pPr>
      <w:r>
        <w:rPr>
          <w:rFonts w:ascii="Calibri" w:eastAsia="Calibri" w:hAnsi="Calibri"/>
          <w:sz w:val="22"/>
          <w:szCs w:val="22"/>
          <w:lang w:val="nl-BE"/>
        </w:rPr>
        <w:t xml:space="preserve">Op 15 juni 2023 volgde een nieuwsbrief n.a.v. de dag van de wind </w:t>
      </w:r>
      <w:r w:rsidR="006B3ABB">
        <w:rPr>
          <w:rFonts w:ascii="Calibri" w:eastAsia="Calibri" w:hAnsi="Calibri"/>
          <w:sz w:val="22"/>
          <w:szCs w:val="22"/>
          <w:lang w:val="nl-BE"/>
        </w:rPr>
        <w:t>waarin de presentatie en de stemresultaten van de algemene vergadering 2023 werden gedeeld.</w:t>
      </w:r>
    </w:p>
    <w:p w14:paraId="48B2DC89" w14:textId="72487942" w:rsidR="0002545C" w:rsidRDefault="006B3ABB" w:rsidP="0002545C">
      <w:pPr>
        <w:spacing w:after="160" w:line="259" w:lineRule="auto"/>
        <w:jc w:val="both"/>
        <w:rPr>
          <w:rFonts w:ascii="Calibri" w:eastAsia="Calibri" w:hAnsi="Calibri"/>
          <w:sz w:val="22"/>
          <w:szCs w:val="22"/>
          <w:lang w:val="nl-BE"/>
        </w:rPr>
      </w:pPr>
      <w:r>
        <w:rPr>
          <w:rFonts w:ascii="Calibri" w:eastAsia="Calibri" w:hAnsi="Calibri"/>
          <w:sz w:val="22"/>
          <w:szCs w:val="22"/>
          <w:lang w:val="nl-BE"/>
        </w:rPr>
        <w:t>I</w:t>
      </w:r>
      <w:r w:rsidR="000845DD" w:rsidRPr="00852BB7">
        <w:rPr>
          <w:rFonts w:ascii="Calibri" w:eastAsia="Calibri" w:hAnsi="Calibri"/>
          <w:sz w:val="22"/>
          <w:szCs w:val="22"/>
          <w:lang w:val="nl-BE"/>
        </w:rPr>
        <w:t>n</w:t>
      </w:r>
      <w:r w:rsidR="00127BE8" w:rsidRPr="00852BB7">
        <w:rPr>
          <w:rFonts w:ascii="Calibri" w:eastAsia="Calibri" w:hAnsi="Calibri"/>
          <w:sz w:val="22"/>
          <w:szCs w:val="22"/>
          <w:lang w:val="nl-BE"/>
        </w:rPr>
        <w:t xml:space="preserve"> </w:t>
      </w:r>
      <w:r w:rsidR="005E192F" w:rsidRPr="0075203E">
        <w:rPr>
          <w:rFonts w:ascii="Calibri" w:eastAsia="Calibri" w:hAnsi="Calibri"/>
          <w:sz w:val="22"/>
          <w:szCs w:val="22"/>
          <w:lang w:val="nl-BE"/>
        </w:rPr>
        <w:t>oktober</w:t>
      </w:r>
      <w:r w:rsidR="005E192F" w:rsidRPr="00852BB7">
        <w:rPr>
          <w:rFonts w:ascii="Calibri" w:eastAsia="Calibri" w:hAnsi="Calibri"/>
          <w:sz w:val="22"/>
          <w:szCs w:val="22"/>
          <w:lang w:val="nl-BE"/>
        </w:rPr>
        <w:t xml:space="preserve"> </w:t>
      </w:r>
      <w:r w:rsidR="00D12EA1" w:rsidRPr="00852BB7">
        <w:rPr>
          <w:rFonts w:ascii="Calibri" w:eastAsia="Calibri" w:hAnsi="Calibri"/>
          <w:sz w:val="22"/>
          <w:szCs w:val="22"/>
          <w:lang w:val="nl-BE"/>
        </w:rPr>
        <w:t>202</w:t>
      </w:r>
      <w:r w:rsidR="005E192F" w:rsidRPr="0075203E">
        <w:rPr>
          <w:rFonts w:ascii="Calibri" w:eastAsia="Calibri" w:hAnsi="Calibri"/>
          <w:sz w:val="22"/>
          <w:szCs w:val="22"/>
          <w:lang w:val="nl-BE"/>
        </w:rPr>
        <w:t>3</w:t>
      </w:r>
      <w:r w:rsidR="002B56A0">
        <w:rPr>
          <w:rFonts w:ascii="Calibri" w:eastAsia="Calibri" w:hAnsi="Calibri"/>
          <w:sz w:val="22"/>
          <w:szCs w:val="22"/>
          <w:lang w:val="nl-BE"/>
        </w:rPr>
        <w:t xml:space="preserve"> werd bijkomend een</w:t>
      </w:r>
      <w:r w:rsidR="00D12EA1" w:rsidRPr="00852BB7">
        <w:rPr>
          <w:rFonts w:ascii="Calibri" w:eastAsia="Calibri" w:hAnsi="Calibri"/>
          <w:sz w:val="22"/>
          <w:szCs w:val="22"/>
          <w:lang w:val="nl-BE"/>
        </w:rPr>
        <w:t xml:space="preserve"> </w:t>
      </w:r>
      <w:r w:rsidR="0002545C" w:rsidRPr="00852BB7">
        <w:rPr>
          <w:rFonts w:ascii="Calibri" w:eastAsia="Calibri" w:hAnsi="Calibri"/>
          <w:sz w:val="22"/>
          <w:szCs w:val="22"/>
          <w:lang w:val="nl-BE"/>
        </w:rPr>
        <w:t>nieuwsbrief verstuurd</w:t>
      </w:r>
      <w:r w:rsidR="005E192F" w:rsidRPr="0075203E">
        <w:rPr>
          <w:rFonts w:ascii="Calibri" w:eastAsia="Calibri" w:hAnsi="Calibri"/>
          <w:sz w:val="22"/>
          <w:szCs w:val="22"/>
          <w:lang w:val="nl-BE"/>
        </w:rPr>
        <w:t xml:space="preserve"> </w:t>
      </w:r>
      <w:r w:rsidR="002B56A0">
        <w:rPr>
          <w:rFonts w:ascii="Calibri" w:eastAsia="Calibri" w:hAnsi="Calibri"/>
          <w:sz w:val="22"/>
          <w:szCs w:val="22"/>
          <w:lang w:val="nl-BE"/>
        </w:rPr>
        <w:t>ter voorstelling van de nieuwe A-bestuurders Peter Caluwaerts en Kristof Verlinden</w:t>
      </w:r>
      <w:r w:rsidR="0042523C" w:rsidRPr="00852BB7">
        <w:rPr>
          <w:rFonts w:ascii="Calibri" w:eastAsia="Calibri" w:hAnsi="Calibri"/>
          <w:sz w:val="22"/>
          <w:szCs w:val="22"/>
          <w:lang w:val="nl-BE"/>
        </w:rPr>
        <w:t xml:space="preserve">. </w:t>
      </w:r>
      <w:r w:rsidR="00B569BD" w:rsidRPr="0075203E">
        <w:rPr>
          <w:rFonts w:ascii="Calibri" w:eastAsia="Calibri" w:hAnsi="Calibri"/>
          <w:sz w:val="22"/>
          <w:szCs w:val="22"/>
          <w:lang w:val="nl-BE"/>
        </w:rPr>
        <w:t xml:space="preserve">Deze nieuwsbrief bevatte </w:t>
      </w:r>
      <w:r w:rsidR="004C7CC6">
        <w:rPr>
          <w:rFonts w:ascii="Calibri" w:eastAsia="Calibri" w:hAnsi="Calibri"/>
          <w:sz w:val="22"/>
          <w:szCs w:val="22"/>
          <w:lang w:val="nl-BE"/>
        </w:rPr>
        <w:t xml:space="preserve">tevens </w:t>
      </w:r>
      <w:r w:rsidR="00B569BD" w:rsidRPr="0075203E">
        <w:rPr>
          <w:rFonts w:ascii="Calibri" w:eastAsia="Calibri" w:hAnsi="Calibri"/>
          <w:sz w:val="22"/>
          <w:szCs w:val="22"/>
          <w:lang w:val="nl-BE"/>
        </w:rPr>
        <w:t xml:space="preserve">een infographic </w:t>
      </w:r>
      <w:r w:rsidR="00422024">
        <w:rPr>
          <w:rFonts w:ascii="Calibri" w:eastAsia="Calibri" w:hAnsi="Calibri"/>
          <w:sz w:val="22"/>
          <w:szCs w:val="22"/>
          <w:lang w:val="nl-BE"/>
        </w:rPr>
        <w:t xml:space="preserve">i.v.m. de elektriciteitsprijs </w:t>
      </w:r>
      <w:r w:rsidR="00885009" w:rsidRPr="0075203E">
        <w:rPr>
          <w:rFonts w:ascii="Calibri" w:eastAsia="Calibri" w:hAnsi="Calibri"/>
          <w:sz w:val="22"/>
          <w:szCs w:val="22"/>
          <w:lang w:val="nl-BE"/>
        </w:rPr>
        <w:t xml:space="preserve">die </w:t>
      </w:r>
      <w:r w:rsidR="00DD3144" w:rsidRPr="0075203E">
        <w:rPr>
          <w:rFonts w:ascii="Calibri" w:eastAsia="Calibri" w:hAnsi="Calibri"/>
          <w:sz w:val="22"/>
          <w:szCs w:val="22"/>
          <w:lang w:val="nl-BE"/>
        </w:rPr>
        <w:t xml:space="preserve">uit de doeken doet hoe de </w:t>
      </w:r>
      <w:r w:rsidR="00422024">
        <w:rPr>
          <w:rFonts w:ascii="Calibri" w:eastAsia="Calibri" w:hAnsi="Calibri"/>
          <w:sz w:val="22"/>
          <w:szCs w:val="22"/>
          <w:lang w:val="nl-BE"/>
        </w:rPr>
        <w:t>deze</w:t>
      </w:r>
      <w:r w:rsidR="00DD3144" w:rsidRPr="0075203E">
        <w:rPr>
          <w:rFonts w:ascii="Calibri" w:eastAsia="Calibri" w:hAnsi="Calibri"/>
          <w:sz w:val="22"/>
          <w:szCs w:val="22"/>
          <w:lang w:val="nl-BE"/>
        </w:rPr>
        <w:t xml:space="preserve"> wordt bepaald en </w:t>
      </w:r>
      <w:r w:rsidR="005D65F3">
        <w:rPr>
          <w:rFonts w:ascii="Calibri" w:eastAsia="Calibri" w:hAnsi="Calibri"/>
          <w:sz w:val="22"/>
          <w:szCs w:val="22"/>
          <w:lang w:val="nl-BE"/>
        </w:rPr>
        <w:t>op welke manier</w:t>
      </w:r>
      <w:r w:rsidR="00DD3144" w:rsidRPr="0075203E">
        <w:rPr>
          <w:rFonts w:ascii="Calibri" w:eastAsia="Calibri" w:hAnsi="Calibri"/>
          <w:sz w:val="22"/>
          <w:szCs w:val="22"/>
          <w:lang w:val="nl-BE"/>
        </w:rPr>
        <w:t xml:space="preserve"> hernieuwbare energie bijdraagt </w:t>
      </w:r>
      <w:r w:rsidR="005D65F3">
        <w:rPr>
          <w:rFonts w:ascii="Calibri" w:eastAsia="Calibri" w:hAnsi="Calibri"/>
          <w:sz w:val="22"/>
          <w:szCs w:val="22"/>
          <w:lang w:val="nl-BE"/>
        </w:rPr>
        <w:t>tot</w:t>
      </w:r>
      <w:r w:rsidR="00DD3144" w:rsidRPr="0075203E">
        <w:rPr>
          <w:rFonts w:ascii="Calibri" w:eastAsia="Calibri" w:hAnsi="Calibri"/>
          <w:sz w:val="22"/>
          <w:szCs w:val="22"/>
          <w:lang w:val="nl-BE"/>
        </w:rPr>
        <w:t xml:space="preserve"> </w:t>
      </w:r>
      <w:r w:rsidR="00422024">
        <w:rPr>
          <w:rFonts w:ascii="Calibri" w:eastAsia="Calibri" w:hAnsi="Calibri"/>
          <w:sz w:val="22"/>
          <w:szCs w:val="22"/>
          <w:lang w:val="nl-BE"/>
        </w:rPr>
        <w:t xml:space="preserve">een </w:t>
      </w:r>
      <w:r w:rsidR="00DD3144" w:rsidRPr="0075203E">
        <w:rPr>
          <w:rFonts w:ascii="Calibri" w:eastAsia="Calibri" w:hAnsi="Calibri"/>
          <w:sz w:val="22"/>
          <w:szCs w:val="22"/>
          <w:lang w:val="nl-BE"/>
        </w:rPr>
        <w:t>stabielere prij</w:t>
      </w:r>
      <w:r w:rsidR="00422024">
        <w:rPr>
          <w:rFonts w:ascii="Calibri" w:eastAsia="Calibri" w:hAnsi="Calibri"/>
          <w:sz w:val="22"/>
          <w:szCs w:val="22"/>
          <w:lang w:val="nl-BE"/>
        </w:rPr>
        <w:t>s</w:t>
      </w:r>
      <w:r w:rsidR="00DD3144" w:rsidRPr="0075203E">
        <w:rPr>
          <w:rFonts w:ascii="Calibri" w:eastAsia="Calibri" w:hAnsi="Calibri"/>
          <w:sz w:val="22"/>
          <w:szCs w:val="22"/>
          <w:lang w:val="nl-BE"/>
        </w:rPr>
        <w:t>.</w:t>
      </w:r>
    </w:p>
    <w:p w14:paraId="4D6E71BC" w14:textId="2FB820EE" w:rsidR="00232F5F" w:rsidRDefault="00232F5F" w:rsidP="0028455F">
      <w:pPr>
        <w:spacing w:after="160" w:line="259" w:lineRule="auto"/>
        <w:jc w:val="both"/>
        <w:rPr>
          <w:rFonts w:ascii="Calibri" w:eastAsia="Calibri" w:hAnsi="Calibri"/>
          <w:sz w:val="22"/>
          <w:szCs w:val="22"/>
          <w:lang w:val="nl-BE"/>
        </w:rPr>
      </w:pPr>
      <w:r>
        <w:rPr>
          <w:rFonts w:ascii="Calibri" w:eastAsia="Calibri" w:hAnsi="Calibri"/>
          <w:sz w:val="22"/>
          <w:szCs w:val="22"/>
          <w:lang w:val="nl-BE"/>
        </w:rPr>
        <w:t xml:space="preserve">Eind januari 2024 </w:t>
      </w:r>
      <w:r w:rsidR="0028455F">
        <w:rPr>
          <w:rFonts w:ascii="Calibri" w:eastAsia="Calibri" w:hAnsi="Calibri"/>
          <w:sz w:val="22"/>
          <w:szCs w:val="22"/>
          <w:lang w:val="nl-BE"/>
        </w:rPr>
        <w:t xml:space="preserve">werd </w:t>
      </w:r>
      <w:r w:rsidR="0028455F" w:rsidRPr="0028455F">
        <w:rPr>
          <w:rFonts w:ascii="Calibri" w:eastAsia="Calibri" w:hAnsi="Calibri"/>
          <w:sz w:val="22"/>
          <w:szCs w:val="22"/>
          <w:lang w:val="nl-BE"/>
        </w:rPr>
        <w:t xml:space="preserve">een oproep </w:t>
      </w:r>
      <w:r w:rsidR="0028455F">
        <w:rPr>
          <w:rFonts w:ascii="Calibri" w:eastAsia="Calibri" w:hAnsi="Calibri"/>
          <w:sz w:val="22"/>
          <w:szCs w:val="22"/>
          <w:lang w:val="nl-BE"/>
        </w:rPr>
        <w:t xml:space="preserve">gelanceerd </w:t>
      </w:r>
      <w:r w:rsidR="0028455F" w:rsidRPr="0028455F">
        <w:rPr>
          <w:rFonts w:ascii="Calibri" w:eastAsia="Calibri" w:hAnsi="Calibri"/>
          <w:sz w:val="22"/>
          <w:szCs w:val="22"/>
          <w:lang w:val="nl-BE"/>
        </w:rPr>
        <w:t>aan de aandeelhouders tot kandidaatstellingen voor twee open</w:t>
      </w:r>
      <w:r w:rsidR="0028455F">
        <w:rPr>
          <w:rFonts w:ascii="Calibri" w:eastAsia="Calibri" w:hAnsi="Calibri"/>
          <w:sz w:val="22"/>
          <w:szCs w:val="22"/>
          <w:lang w:val="nl-BE"/>
        </w:rPr>
        <w:t>vallend</w:t>
      </w:r>
      <w:r w:rsidR="0028455F" w:rsidRPr="0028455F">
        <w:rPr>
          <w:rFonts w:ascii="Calibri" w:eastAsia="Calibri" w:hAnsi="Calibri"/>
          <w:sz w:val="22"/>
          <w:szCs w:val="22"/>
          <w:lang w:val="nl-BE"/>
        </w:rPr>
        <w:t xml:space="preserve"> vacatures van B-bestuurder (zie in dit verband ook punt 3 hierboven).</w:t>
      </w:r>
    </w:p>
    <w:p w14:paraId="763B1AD3" w14:textId="39827446" w:rsidR="005D65F3" w:rsidRDefault="006A3BAB" w:rsidP="0002545C">
      <w:pPr>
        <w:spacing w:after="160" w:line="259" w:lineRule="auto"/>
        <w:jc w:val="both"/>
        <w:rPr>
          <w:rFonts w:ascii="Calibri" w:eastAsia="Calibri" w:hAnsi="Calibri"/>
          <w:sz w:val="22"/>
          <w:szCs w:val="22"/>
          <w:lang w:val="nl-BE"/>
        </w:rPr>
      </w:pPr>
      <w:r>
        <w:rPr>
          <w:rFonts w:ascii="Calibri" w:eastAsia="Calibri" w:hAnsi="Calibri"/>
          <w:sz w:val="22"/>
          <w:szCs w:val="22"/>
          <w:lang w:val="nl-BE"/>
        </w:rPr>
        <w:t>Verder</w:t>
      </w:r>
      <w:r w:rsidR="005D65F3">
        <w:rPr>
          <w:rFonts w:ascii="Calibri" w:eastAsia="Calibri" w:hAnsi="Calibri"/>
          <w:sz w:val="22"/>
          <w:szCs w:val="22"/>
          <w:lang w:val="nl-BE"/>
        </w:rPr>
        <w:t xml:space="preserve"> werd in februari 2024 een nieuwsbrief verstuurd waarin </w:t>
      </w:r>
      <w:r w:rsidR="00FF34EE">
        <w:rPr>
          <w:rFonts w:ascii="Calibri" w:eastAsia="Calibri" w:hAnsi="Calibri"/>
          <w:sz w:val="22"/>
          <w:szCs w:val="22"/>
          <w:lang w:val="nl-BE"/>
        </w:rPr>
        <w:t xml:space="preserve">de </w:t>
      </w:r>
      <w:r>
        <w:rPr>
          <w:rFonts w:ascii="Calibri" w:eastAsia="Calibri" w:hAnsi="Calibri"/>
          <w:sz w:val="22"/>
          <w:szCs w:val="22"/>
          <w:lang w:val="nl-BE"/>
        </w:rPr>
        <w:t xml:space="preserve">andere </w:t>
      </w:r>
      <w:r w:rsidR="00FF34EE">
        <w:rPr>
          <w:rFonts w:ascii="Calibri" w:eastAsia="Calibri" w:hAnsi="Calibri"/>
          <w:sz w:val="22"/>
          <w:szCs w:val="22"/>
          <w:lang w:val="nl-BE"/>
        </w:rPr>
        <w:t xml:space="preserve">bestuurders van North Sea Wind zich </w:t>
      </w:r>
      <w:r>
        <w:rPr>
          <w:rFonts w:ascii="Calibri" w:eastAsia="Calibri" w:hAnsi="Calibri"/>
          <w:sz w:val="22"/>
          <w:szCs w:val="22"/>
          <w:lang w:val="nl-BE"/>
        </w:rPr>
        <w:t>voorstellen, zijnde Peter Cauwels, Jean De Leu de Cecil, Maaike Ortibus en Maria Sordo-De Cock</w:t>
      </w:r>
      <w:r w:rsidR="00FF34EE">
        <w:rPr>
          <w:rFonts w:ascii="Calibri" w:eastAsia="Calibri" w:hAnsi="Calibri"/>
          <w:sz w:val="22"/>
          <w:szCs w:val="22"/>
          <w:lang w:val="nl-BE"/>
        </w:rPr>
        <w:t xml:space="preserve">. </w:t>
      </w:r>
    </w:p>
    <w:p w14:paraId="173F74A7" w14:textId="212F30AA" w:rsidR="00FF34EE" w:rsidRPr="00852BB7" w:rsidRDefault="00FF34EE" w:rsidP="0002545C">
      <w:pPr>
        <w:spacing w:after="160" w:line="259" w:lineRule="auto"/>
        <w:jc w:val="both"/>
        <w:rPr>
          <w:rFonts w:ascii="Calibri" w:eastAsia="Calibri" w:hAnsi="Calibri"/>
          <w:sz w:val="22"/>
          <w:szCs w:val="22"/>
          <w:lang w:val="nl-BE"/>
        </w:rPr>
      </w:pPr>
      <w:r>
        <w:rPr>
          <w:rFonts w:ascii="Calibri" w:eastAsia="Calibri" w:hAnsi="Calibri"/>
          <w:sz w:val="22"/>
          <w:szCs w:val="22"/>
          <w:lang w:val="nl-BE"/>
        </w:rPr>
        <w:t xml:space="preserve">Tenslotte, zal de algemene vergadering van 2024 digitiaal worden georganiseerd </w:t>
      </w:r>
      <w:r w:rsidR="00BE7E66">
        <w:rPr>
          <w:rFonts w:ascii="Calibri" w:eastAsia="Calibri" w:hAnsi="Calibri"/>
          <w:sz w:val="22"/>
          <w:szCs w:val="22"/>
          <w:lang w:val="nl-BE"/>
        </w:rPr>
        <w:t xml:space="preserve">om toe te laten aan zoveel mogelijk coöperanten om deel te nemen aan de algemene vergadering, zonder dat daartoe een verplaatsing nodig is. </w:t>
      </w:r>
      <w:r w:rsidR="00D5560A">
        <w:rPr>
          <w:rFonts w:ascii="Calibri" w:eastAsia="Calibri" w:hAnsi="Calibri"/>
          <w:sz w:val="22"/>
          <w:szCs w:val="22"/>
          <w:lang w:val="nl-BE"/>
        </w:rPr>
        <w:t>Op de algemene vergadering zal na het formele gedeelte ook een presentatie worden gegeven door een medewerker van Parkwind i.v.m. systeemintegratie.</w:t>
      </w:r>
    </w:p>
    <w:p w14:paraId="6BA928E0" w14:textId="2A7CC3B9" w:rsidR="00DA78A2" w:rsidRPr="00A37093" w:rsidRDefault="00DA78A2" w:rsidP="0002545C">
      <w:pPr>
        <w:spacing w:after="160" w:line="259" w:lineRule="auto"/>
        <w:jc w:val="both"/>
        <w:rPr>
          <w:rFonts w:ascii="Calibri" w:eastAsia="Calibri" w:hAnsi="Calibri"/>
          <w:sz w:val="22"/>
          <w:szCs w:val="22"/>
          <w:lang w:val="nl-BE"/>
        </w:rPr>
      </w:pPr>
      <w:r w:rsidRPr="003D7EC3">
        <w:rPr>
          <w:rFonts w:ascii="Calibri" w:eastAsia="Calibri" w:hAnsi="Calibri"/>
          <w:sz w:val="22"/>
          <w:szCs w:val="22"/>
          <w:lang w:val="nl-BE"/>
        </w:rPr>
        <w:t xml:space="preserve">De raad van bestuur </w:t>
      </w:r>
      <w:r w:rsidR="003D7EC3" w:rsidRPr="00F74255">
        <w:rPr>
          <w:rFonts w:ascii="Calibri" w:eastAsia="Calibri" w:hAnsi="Calibri"/>
          <w:sz w:val="22"/>
          <w:szCs w:val="22"/>
          <w:lang w:val="nl-BE"/>
        </w:rPr>
        <w:t>blijft</w:t>
      </w:r>
      <w:r w:rsidRPr="003D7EC3">
        <w:rPr>
          <w:rFonts w:ascii="Calibri" w:eastAsia="Calibri" w:hAnsi="Calibri"/>
          <w:sz w:val="22"/>
          <w:szCs w:val="22"/>
          <w:lang w:val="nl-BE"/>
        </w:rPr>
        <w:t xml:space="preserve"> de </w:t>
      </w:r>
      <w:r w:rsidR="00D01F48" w:rsidRPr="003D7EC3">
        <w:rPr>
          <w:rFonts w:ascii="Calibri" w:eastAsia="Calibri" w:hAnsi="Calibri"/>
          <w:sz w:val="22"/>
          <w:szCs w:val="22"/>
          <w:lang w:val="nl-BE"/>
        </w:rPr>
        <w:t xml:space="preserve">verdere </w:t>
      </w:r>
      <w:r w:rsidR="0019339D" w:rsidRPr="003D7EC3">
        <w:rPr>
          <w:rFonts w:ascii="Calibri" w:eastAsia="Calibri" w:hAnsi="Calibri"/>
          <w:sz w:val="22"/>
          <w:szCs w:val="22"/>
          <w:lang w:val="nl-BE"/>
        </w:rPr>
        <w:t xml:space="preserve">integratie </w:t>
      </w:r>
      <w:r w:rsidR="00B12ADC" w:rsidRPr="003D7EC3">
        <w:rPr>
          <w:rFonts w:ascii="Calibri" w:eastAsia="Calibri" w:hAnsi="Calibri"/>
          <w:sz w:val="22"/>
          <w:szCs w:val="22"/>
          <w:lang w:val="nl-BE"/>
        </w:rPr>
        <w:t xml:space="preserve">en promotie van de ICA-principes </w:t>
      </w:r>
      <w:r w:rsidR="003915F1" w:rsidRPr="003D7EC3">
        <w:rPr>
          <w:rFonts w:ascii="Calibri" w:eastAsia="Calibri" w:hAnsi="Calibri"/>
          <w:sz w:val="22"/>
          <w:szCs w:val="22"/>
          <w:lang w:val="nl-BE"/>
        </w:rPr>
        <w:t>in de werking van de vennootschap</w:t>
      </w:r>
      <w:r w:rsidR="003D7EC3" w:rsidRPr="00F74255">
        <w:rPr>
          <w:rFonts w:ascii="Calibri" w:eastAsia="Calibri" w:hAnsi="Calibri"/>
          <w:sz w:val="22"/>
          <w:szCs w:val="22"/>
          <w:lang w:val="nl-BE"/>
        </w:rPr>
        <w:t xml:space="preserve"> ter harte nemen</w:t>
      </w:r>
      <w:r w:rsidR="003915F1" w:rsidRPr="003D7EC3">
        <w:rPr>
          <w:rFonts w:ascii="Calibri" w:eastAsia="Calibri" w:hAnsi="Calibri"/>
          <w:sz w:val="22"/>
          <w:szCs w:val="22"/>
          <w:lang w:val="nl-BE"/>
        </w:rPr>
        <w:t xml:space="preserve">. </w:t>
      </w:r>
      <w:r w:rsidR="003D7EC3" w:rsidRPr="00F74255">
        <w:rPr>
          <w:rFonts w:ascii="Calibri" w:eastAsia="Calibri" w:hAnsi="Calibri"/>
          <w:sz w:val="22"/>
          <w:szCs w:val="22"/>
          <w:lang w:val="nl-BE"/>
        </w:rPr>
        <w:t>Op periodieke wijze wordt hierbij stilgestaan door de raad van bestuur die telkens tracht om ook e</w:t>
      </w:r>
      <w:r w:rsidR="003915F1" w:rsidRPr="003D7EC3">
        <w:rPr>
          <w:rFonts w:ascii="Calibri" w:eastAsia="Calibri" w:hAnsi="Calibri"/>
          <w:sz w:val="22"/>
          <w:szCs w:val="22"/>
          <w:lang w:val="nl-BE"/>
        </w:rPr>
        <w:t xml:space="preserve">en aantal concrete acties en aanbevelingen </w:t>
      </w:r>
      <w:r w:rsidR="003D7EC3" w:rsidRPr="003D7EC3">
        <w:rPr>
          <w:rFonts w:ascii="Calibri" w:eastAsia="Calibri" w:hAnsi="Calibri"/>
          <w:sz w:val="22"/>
          <w:szCs w:val="22"/>
          <w:lang w:val="nl-BE"/>
        </w:rPr>
        <w:t>voor te leggen</w:t>
      </w:r>
      <w:r w:rsidR="00C14A77" w:rsidRPr="003D7EC3">
        <w:rPr>
          <w:rFonts w:ascii="Calibri" w:eastAsia="Calibri" w:hAnsi="Calibri"/>
          <w:sz w:val="22"/>
          <w:szCs w:val="22"/>
          <w:lang w:val="nl-BE"/>
        </w:rPr>
        <w:t>.</w:t>
      </w:r>
      <w:r w:rsidR="00C14A77" w:rsidRPr="00A37093">
        <w:rPr>
          <w:rFonts w:ascii="Calibri" w:eastAsia="Calibri" w:hAnsi="Calibri"/>
          <w:sz w:val="22"/>
          <w:szCs w:val="22"/>
          <w:lang w:val="nl-BE"/>
        </w:rPr>
        <w:t xml:space="preserve"> </w:t>
      </w:r>
    </w:p>
    <w:p w14:paraId="67AF7ED1" w14:textId="30FEE538" w:rsidR="0002545C" w:rsidRPr="00E03EB1" w:rsidRDefault="0002545C" w:rsidP="00E03EB1">
      <w:pPr>
        <w:spacing w:after="160" w:line="259" w:lineRule="auto"/>
        <w:jc w:val="both"/>
        <w:rPr>
          <w:lang w:val="nl-BE"/>
        </w:rPr>
      </w:pPr>
    </w:p>
    <w:sectPr w:rsidR="0002545C" w:rsidRPr="00E03EB1" w:rsidSect="00F301A6">
      <w:headerReference w:type="default" r:id="rId13"/>
      <w:footerReference w:type="default" r:id="rId14"/>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E6F2" w14:textId="77777777" w:rsidR="00431D0E" w:rsidRDefault="00431D0E" w:rsidP="00F71170">
      <w:r>
        <w:separator/>
      </w:r>
    </w:p>
  </w:endnote>
  <w:endnote w:type="continuationSeparator" w:id="0">
    <w:p w14:paraId="64B33E18" w14:textId="77777777" w:rsidR="00431D0E" w:rsidRDefault="00431D0E" w:rsidP="00F71170">
      <w:r>
        <w:continuationSeparator/>
      </w:r>
    </w:p>
  </w:endnote>
  <w:endnote w:type="continuationNotice" w:id="1">
    <w:p w14:paraId="09E527FA" w14:textId="77777777" w:rsidR="00431D0E" w:rsidRDefault="00431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79FA" w14:textId="77777777" w:rsidR="00F301A6" w:rsidRPr="007E6243" w:rsidRDefault="00B96E47" w:rsidP="00F301A6">
    <w:pPr>
      <w:pStyle w:val="Footer"/>
      <w:jc w:val="right"/>
      <w:rPr>
        <w:sz w:val="22"/>
        <w:szCs w:val="22"/>
      </w:rPr>
    </w:pPr>
    <w:sdt>
      <w:sdtPr>
        <w:id w:val="1073163687"/>
        <w:docPartObj>
          <w:docPartGallery w:val="Page Numbers (Bottom of Page)"/>
          <w:docPartUnique/>
        </w:docPartObj>
      </w:sdtPr>
      <w:sdtEndPr>
        <w:rPr>
          <w:sz w:val="22"/>
          <w:szCs w:val="22"/>
        </w:rPr>
      </w:sdtEndPr>
      <w:sdtContent>
        <w:sdt>
          <w:sdtPr>
            <w:rPr>
              <w:sz w:val="22"/>
              <w:szCs w:val="22"/>
            </w:rPr>
            <w:id w:val="-1769616900"/>
            <w:docPartObj>
              <w:docPartGallery w:val="Page Numbers (Top of Page)"/>
              <w:docPartUnique/>
            </w:docPartObj>
          </w:sdtPr>
          <w:sdtContent>
            <w:r w:rsidR="00F71170" w:rsidRPr="007E6243">
              <w:rPr>
                <w:rFonts w:asciiTheme="minorHAnsi" w:hAnsiTheme="minorHAnsi" w:cstheme="minorHAnsi"/>
                <w:sz w:val="22"/>
                <w:szCs w:val="22"/>
              </w:rPr>
              <w:t xml:space="preserve"> </w:t>
            </w:r>
            <w:r w:rsidR="00F71170" w:rsidRPr="007E6243">
              <w:rPr>
                <w:rFonts w:asciiTheme="minorHAnsi" w:hAnsiTheme="minorHAnsi" w:cstheme="minorHAnsi"/>
                <w:b/>
                <w:bCs/>
                <w:sz w:val="22"/>
                <w:szCs w:val="22"/>
              </w:rPr>
              <w:fldChar w:fldCharType="begin"/>
            </w:r>
            <w:r w:rsidR="00F71170" w:rsidRPr="007E6243">
              <w:rPr>
                <w:rFonts w:asciiTheme="minorHAnsi" w:hAnsiTheme="minorHAnsi" w:cstheme="minorHAnsi"/>
                <w:b/>
                <w:bCs/>
                <w:sz w:val="22"/>
                <w:szCs w:val="22"/>
              </w:rPr>
              <w:instrText xml:space="preserve"> PAGE </w:instrText>
            </w:r>
            <w:r w:rsidR="00F71170" w:rsidRPr="007E6243">
              <w:rPr>
                <w:rFonts w:asciiTheme="minorHAnsi" w:hAnsiTheme="minorHAnsi" w:cstheme="minorHAnsi"/>
                <w:b/>
                <w:bCs/>
                <w:sz w:val="22"/>
                <w:szCs w:val="22"/>
              </w:rPr>
              <w:fldChar w:fldCharType="separate"/>
            </w:r>
            <w:r w:rsidR="00F71170" w:rsidRPr="007E6243">
              <w:rPr>
                <w:rFonts w:asciiTheme="minorHAnsi" w:hAnsiTheme="minorHAnsi" w:cstheme="minorHAnsi"/>
                <w:b/>
                <w:bCs/>
                <w:sz w:val="22"/>
                <w:szCs w:val="22"/>
              </w:rPr>
              <w:t>2</w:t>
            </w:r>
            <w:r w:rsidR="00F71170" w:rsidRPr="007E6243">
              <w:rPr>
                <w:rFonts w:asciiTheme="minorHAnsi" w:hAnsiTheme="minorHAnsi" w:cstheme="minorHAnsi"/>
                <w:b/>
                <w:bCs/>
                <w:sz w:val="22"/>
                <w:szCs w:val="22"/>
              </w:rPr>
              <w:fldChar w:fldCharType="end"/>
            </w:r>
            <w:r w:rsidR="00F71170" w:rsidRPr="007E6243">
              <w:rPr>
                <w:rFonts w:asciiTheme="minorHAnsi" w:hAnsiTheme="minorHAnsi" w:cstheme="minorHAnsi"/>
                <w:sz w:val="22"/>
                <w:szCs w:val="22"/>
              </w:rPr>
              <w:t xml:space="preserve"> - </w:t>
            </w:r>
            <w:r w:rsidR="00F71170" w:rsidRPr="007E6243">
              <w:rPr>
                <w:rFonts w:asciiTheme="minorHAnsi" w:hAnsiTheme="minorHAnsi" w:cstheme="minorHAnsi"/>
                <w:b/>
                <w:bCs/>
                <w:sz w:val="22"/>
                <w:szCs w:val="22"/>
              </w:rPr>
              <w:fldChar w:fldCharType="begin"/>
            </w:r>
            <w:r w:rsidR="00F71170" w:rsidRPr="007E6243">
              <w:rPr>
                <w:rFonts w:asciiTheme="minorHAnsi" w:hAnsiTheme="minorHAnsi" w:cstheme="minorHAnsi"/>
                <w:b/>
                <w:bCs/>
                <w:sz w:val="22"/>
                <w:szCs w:val="22"/>
              </w:rPr>
              <w:instrText xml:space="preserve"> NUMPAGES  </w:instrText>
            </w:r>
            <w:r w:rsidR="00F71170" w:rsidRPr="007E6243">
              <w:rPr>
                <w:rFonts w:asciiTheme="minorHAnsi" w:hAnsiTheme="minorHAnsi" w:cstheme="minorHAnsi"/>
                <w:b/>
                <w:bCs/>
                <w:sz w:val="22"/>
                <w:szCs w:val="22"/>
              </w:rPr>
              <w:fldChar w:fldCharType="separate"/>
            </w:r>
            <w:r w:rsidR="00F71170" w:rsidRPr="007E6243">
              <w:rPr>
                <w:rFonts w:asciiTheme="minorHAnsi" w:hAnsiTheme="minorHAnsi" w:cstheme="minorHAnsi"/>
                <w:b/>
                <w:bCs/>
                <w:sz w:val="22"/>
                <w:szCs w:val="22"/>
              </w:rPr>
              <w:t>2</w:t>
            </w:r>
            <w:r w:rsidR="00F71170" w:rsidRPr="007E6243">
              <w:rPr>
                <w:rFonts w:asciiTheme="minorHAnsi" w:hAnsiTheme="minorHAnsi" w:cstheme="minorHAnsi"/>
                <w:b/>
                <w:bCs/>
                <w:sz w:val="22"/>
                <w:szCs w:val="22"/>
              </w:rPr>
              <w:fldChar w:fldCharType="end"/>
            </w:r>
          </w:sdtContent>
        </w:sdt>
      </w:sdtContent>
    </w:sdt>
  </w:p>
  <w:p w14:paraId="0DA34224" w14:textId="77777777" w:rsidR="00F301A6" w:rsidRDefault="00F30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F53DC" w14:textId="77777777" w:rsidR="00431D0E" w:rsidRDefault="00431D0E" w:rsidP="00F71170">
      <w:r>
        <w:separator/>
      </w:r>
    </w:p>
  </w:footnote>
  <w:footnote w:type="continuationSeparator" w:id="0">
    <w:p w14:paraId="3CE50050" w14:textId="77777777" w:rsidR="00431D0E" w:rsidRDefault="00431D0E" w:rsidP="00F71170">
      <w:r>
        <w:continuationSeparator/>
      </w:r>
    </w:p>
  </w:footnote>
  <w:footnote w:type="continuationNotice" w:id="1">
    <w:p w14:paraId="04B4C2DC" w14:textId="77777777" w:rsidR="00431D0E" w:rsidRDefault="00431D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B72C" w14:textId="77777777" w:rsidR="00F301A6" w:rsidRPr="004C0BC2" w:rsidRDefault="00F301A6" w:rsidP="00F301A6">
    <w:pPr>
      <w:pStyle w:val="Header"/>
      <w:jc w:val="righ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167A"/>
    <w:multiLevelType w:val="hybridMultilevel"/>
    <w:tmpl w:val="7C5081D4"/>
    <w:lvl w:ilvl="0" w:tplc="0813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AEB3F06"/>
    <w:multiLevelType w:val="hybridMultilevel"/>
    <w:tmpl w:val="37E6D0A8"/>
    <w:lvl w:ilvl="0" w:tplc="1000000F">
      <w:start w:val="1"/>
      <w:numFmt w:val="decimal"/>
      <w:lvlText w:val="%1."/>
      <w:lvlJc w:val="left"/>
      <w:pPr>
        <w:ind w:left="36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9F86EED"/>
    <w:multiLevelType w:val="hybridMultilevel"/>
    <w:tmpl w:val="7C5081D4"/>
    <w:lvl w:ilvl="0" w:tplc="0813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37765246">
    <w:abstractNumId w:val="1"/>
  </w:num>
  <w:num w:numId="2" w16cid:durableId="1330982606">
    <w:abstractNumId w:val="0"/>
  </w:num>
  <w:num w:numId="3" w16cid:durableId="1857226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170"/>
    <w:rsid w:val="000005D9"/>
    <w:rsid w:val="00010C28"/>
    <w:rsid w:val="000126C6"/>
    <w:rsid w:val="0002270D"/>
    <w:rsid w:val="000227A9"/>
    <w:rsid w:val="0002326F"/>
    <w:rsid w:val="0002545C"/>
    <w:rsid w:val="0002587F"/>
    <w:rsid w:val="00031DE0"/>
    <w:rsid w:val="00033ADA"/>
    <w:rsid w:val="000377A6"/>
    <w:rsid w:val="0004145A"/>
    <w:rsid w:val="0004207E"/>
    <w:rsid w:val="00042774"/>
    <w:rsid w:val="0005119B"/>
    <w:rsid w:val="00057E4E"/>
    <w:rsid w:val="00060A4D"/>
    <w:rsid w:val="00062B8A"/>
    <w:rsid w:val="00065680"/>
    <w:rsid w:val="00072F9C"/>
    <w:rsid w:val="000818E4"/>
    <w:rsid w:val="000845DD"/>
    <w:rsid w:val="00097EAA"/>
    <w:rsid w:val="000B3B99"/>
    <w:rsid w:val="000B3D70"/>
    <w:rsid w:val="000B6CEB"/>
    <w:rsid w:val="000C630B"/>
    <w:rsid w:val="000D20F7"/>
    <w:rsid w:val="000D31EF"/>
    <w:rsid w:val="000E0D40"/>
    <w:rsid w:val="000F299C"/>
    <w:rsid w:val="00111434"/>
    <w:rsid w:val="001117EB"/>
    <w:rsid w:val="001150DE"/>
    <w:rsid w:val="00123B40"/>
    <w:rsid w:val="00124523"/>
    <w:rsid w:val="001254B1"/>
    <w:rsid w:val="00127BE8"/>
    <w:rsid w:val="001376E8"/>
    <w:rsid w:val="00150032"/>
    <w:rsid w:val="00152CAE"/>
    <w:rsid w:val="00154E4D"/>
    <w:rsid w:val="00171009"/>
    <w:rsid w:val="00174CC6"/>
    <w:rsid w:val="0017511E"/>
    <w:rsid w:val="00183A20"/>
    <w:rsid w:val="00191641"/>
    <w:rsid w:val="001921A1"/>
    <w:rsid w:val="0019339D"/>
    <w:rsid w:val="001A5BCC"/>
    <w:rsid w:val="001B0EE0"/>
    <w:rsid w:val="001C002D"/>
    <w:rsid w:val="001C74E7"/>
    <w:rsid w:val="001D30F0"/>
    <w:rsid w:val="001E09D2"/>
    <w:rsid w:val="001E70D3"/>
    <w:rsid w:val="001F64F1"/>
    <w:rsid w:val="001F6F74"/>
    <w:rsid w:val="0021085C"/>
    <w:rsid w:val="002111E5"/>
    <w:rsid w:val="00221E67"/>
    <w:rsid w:val="00232CA7"/>
    <w:rsid w:val="00232F5F"/>
    <w:rsid w:val="00236D7F"/>
    <w:rsid w:val="00240FD4"/>
    <w:rsid w:val="00266840"/>
    <w:rsid w:val="00266E3D"/>
    <w:rsid w:val="00273E1E"/>
    <w:rsid w:val="0027565B"/>
    <w:rsid w:val="0028455F"/>
    <w:rsid w:val="00286D2D"/>
    <w:rsid w:val="00291E7E"/>
    <w:rsid w:val="00293EBD"/>
    <w:rsid w:val="00297908"/>
    <w:rsid w:val="002A1F9A"/>
    <w:rsid w:val="002A35EE"/>
    <w:rsid w:val="002B241E"/>
    <w:rsid w:val="002B56A0"/>
    <w:rsid w:val="002C5CF1"/>
    <w:rsid w:val="002E0F70"/>
    <w:rsid w:val="002F5AE0"/>
    <w:rsid w:val="002F5BA0"/>
    <w:rsid w:val="00307057"/>
    <w:rsid w:val="00340797"/>
    <w:rsid w:val="00345B45"/>
    <w:rsid w:val="0034797D"/>
    <w:rsid w:val="00351E86"/>
    <w:rsid w:val="003544EE"/>
    <w:rsid w:val="003641A5"/>
    <w:rsid w:val="003650CB"/>
    <w:rsid w:val="00375AAA"/>
    <w:rsid w:val="00390E72"/>
    <w:rsid w:val="003915F1"/>
    <w:rsid w:val="003921C5"/>
    <w:rsid w:val="00397020"/>
    <w:rsid w:val="003A009E"/>
    <w:rsid w:val="003A4024"/>
    <w:rsid w:val="003B415D"/>
    <w:rsid w:val="003B4F31"/>
    <w:rsid w:val="003C2F09"/>
    <w:rsid w:val="003C5262"/>
    <w:rsid w:val="003C6B18"/>
    <w:rsid w:val="003D38E9"/>
    <w:rsid w:val="003D7EC3"/>
    <w:rsid w:val="003E1671"/>
    <w:rsid w:val="003E2C3F"/>
    <w:rsid w:val="003E5C07"/>
    <w:rsid w:val="003E6121"/>
    <w:rsid w:val="003F0CC3"/>
    <w:rsid w:val="003F1A5D"/>
    <w:rsid w:val="003F6641"/>
    <w:rsid w:val="003F7A2B"/>
    <w:rsid w:val="003F7C8F"/>
    <w:rsid w:val="00403107"/>
    <w:rsid w:val="00410C7E"/>
    <w:rsid w:val="004128C6"/>
    <w:rsid w:val="00422024"/>
    <w:rsid w:val="0042523C"/>
    <w:rsid w:val="004277B7"/>
    <w:rsid w:val="00431115"/>
    <w:rsid w:val="00431D0E"/>
    <w:rsid w:val="00433F00"/>
    <w:rsid w:val="0043788F"/>
    <w:rsid w:val="00441EC5"/>
    <w:rsid w:val="00441EF4"/>
    <w:rsid w:val="00470919"/>
    <w:rsid w:val="00482A9A"/>
    <w:rsid w:val="00491249"/>
    <w:rsid w:val="00491288"/>
    <w:rsid w:val="00491510"/>
    <w:rsid w:val="004A12FD"/>
    <w:rsid w:val="004A2273"/>
    <w:rsid w:val="004A232E"/>
    <w:rsid w:val="004A7956"/>
    <w:rsid w:val="004A7E1F"/>
    <w:rsid w:val="004B017A"/>
    <w:rsid w:val="004B08FF"/>
    <w:rsid w:val="004C1945"/>
    <w:rsid w:val="004C3643"/>
    <w:rsid w:val="004C5B74"/>
    <w:rsid w:val="004C7CC6"/>
    <w:rsid w:val="004D14A9"/>
    <w:rsid w:val="004D2CB3"/>
    <w:rsid w:val="004D5B3B"/>
    <w:rsid w:val="004E1ABA"/>
    <w:rsid w:val="004F15CF"/>
    <w:rsid w:val="004F1965"/>
    <w:rsid w:val="004F2077"/>
    <w:rsid w:val="005202AA"/>
    <w:rsid w:val="00524503"/>
    <w:rsid w:val="00530160"/>
    <w:rsid w:val="00532666"/>
    <w:rsid w:val="00535E5A"/>
    <w:rsid w:val="005371E3"/>
    <w:rsid w:val="00544C9D"/>
    <w:rsid w:val="00560946"/>
    <w:rsid w:val="005674B3"/>
    <w:rsid w:val="0057102F"/>
    <w:rsid w:val="00574D12"/>
    <w:rsid w:val="005757D7"/>
    <w:rsid w:val="00582BFC"/>
    <w:rsid w:val="00583DBC"/>
    <w:rsid w:val="005860B7"/>
    <w:rsid w:val="00595937"/>
    <w:rsid w:val="005978DF"/>
    <w:rsid w:val="005A1E69"/>
    <w:rsid w:val="005B3F60"/>
    <w:rsid w:val="005C6081"/>
    <w:rsid w:val="005D4BCB"/>
    <w:rsid w:val="005D65F3"/>
    <w:rsid w:val="005E02EE"/>
    <w:rsid w:val="005E192F"/>
    <w:rsid w:val="005E51E4"/>
    <w:rsid w:val="005E6333"/>
    <w:rsid w:val="0060599F"/>
    <w:rsid w:val="00606328"/>
    <w:rsid w:val="00614A9C"/>
    <w:rsid w:val="00623168"/>
    <w:rsid w:val="0064613E"/>
    <w:rsid w:val="00647A7C"/>
    <w:rsid w:val="0065302D"/>
    <w:rsid w:val="00655871"/>
    <w:rsid w:val="006721A6"/>
    <w:rsid w:val="00675713"/>
    <w:rsid w:val="00695601"/>
    <w:rsid w:val="006A0D9F"/>
    <w:rsid w:val="006A351B"/>
    <w:rsid w:val="006A3BAB"/>
    <w:rsid w:val="006A4DF8"/>
    <w:rsid w:val="006A79C4"/>
    <w:rsid w:val="006B3ABB"/>
    <w:rsid w:val="006C260E"/>
    <w:rsid w:val="006D4EFE"/>
    <w:rsid w:val="006E4C62"/>
    <w:rsid w:val="006E76B4"/>
    <w:rsid w:val="006F07FB"/>
    <w:rsid w:val="00705379"/>
    <w:rsid w:val="00705E56"/>
    <w:rsid w:val="00706045"/>
    <w:rsid w:val="00713F42"/>
    <w:rsid w:val="007211F1"/>
    <w:rsid w:val="00733831"/>
    <w:rsid w:val="007511D6"/>
    <w:rsid w:val="0075203E"/>
    <w:rsid w:val="00757D30"/>
    <w:rsid w:val="00764177"/>
    <w:rsid w:val="0076528D"/>
    <w:rsid w:val="007733DF"/>
    <w:rsid w:val="0077436F"/>
    <w:rsid w:val="00775EF7"/>
    <w:rsid w:val="007874DE"/>
    <w:rsid w:val="00791E94"/>
    <w:rsid w:val="00795D12"/>
    <w:rsid w:val="007A1C87"/>
    <w:rsid w:val="007A7A7F"/>
    <w:rsid w:val="007B09EB"/>
    <w:rsid w:val="007B11F4"/>
    <w:rsid w:val="007B5644"/>
    <w:rsid w:val="007C6C7A"/>
    <w:rsid w:val="007D0E28"/>
    <w:rsid w:val="007D4E93"/>
    <w:rsid w:val="007E2522"/>
    <w:rsid w:val="007E6243"/>
    <w:rsid w:val="007F4870"/>
    <w:rsid w:val="00803190"/>
    <w:rsid w:val="00804049"/>
    <w:rsid w:val="00804A80"/>
    <w:rsid w:val="008057F2"/>
    <w:rsid w:val="0082205D"/>
    <w:rsid w:val="008319B3"/>
    <w:rsid w:val="00835411"/>
    <w:rsid w:val="00847C47"/>
    <w:rsid w:val="008502BC"/>
    <w:rsid w:val="00852BB7"/>
    <w:rsid w:val="00860446"/>
    <w:rsid w:val="00863795"/>
    <w:rsid w:val="0087316B"/>
    <w:rsid w:val="00874651"/>
    <w:rsid w:val="008760F5"/>
    <w:rsid w:val="008761F7"/>
    <w:rsid w:val="0087705C"/>
    <w:rsid w:val="00881038"/>
    <w:rsid w:val="00885009"/>
    <w:rsid w:val="0088536A"/>
    <w:rsid w:val="00886993"/>
    <w:rsid w:val="008907CE"/>
    <w:rsid w:val="0089248C"/>
    <w:rsid w:val="00893797"/>
    <w:rsid w:val="008A21F8"/>
    <w:rsid w:val="008A6D17"/>
    <w:rsid w:val="008A7B41"/>
    <w:rsid w:val="008B09BA"/>
    <w:rsid w:val="008C017F"/>
    <w:rsid w:val="008C1912"/>
    <w:rsid w:val="008C6BA4"/>
    <w:rsid w:val="008D2081"/>
    <w:rsid w:val="008D4774"/>
    <w:rsid w:val="008D6379"/>
    <w:rsid w:val="008E2674"/>
    <w:rsid w:val="008E7502"/>
    <w:rsid w:val="008F0A97"/>
    <w:rsid w:val="008F4CA9"/>
    <w:rsid w:val="00904089"/>
    <w:rsid w:val="0091599F"/>
    <w:rsid w:val="00917E3D"/>
    <w:rsid w:val="00921F90"/>
    <w:rsid w:val="00926552"/>
    <w:rsid w:val="0094386D"/>
    <w:rsid w:val="00956967"/>
    <w:rsid w:val="00956F6B"/>
    <w:rsid w:val="00965F9A"/>
    <w:rsid w:val="00983DE2"/>
    <w:rsid w:val="00985CD6"/>
    <w:rsid w:val="00996B2A"/>
    <w:rsid w:val="009A27BD"/>
    <w:rsid w:val="009A486B"/>
    <w:rsid w:val="009A7E75"/>
    <w:rsid w:val="009B2798"/>
    <w:rsid w:val="009C3E92"/>
    <w:rsid w:val="009C4130"/>
    <w:rsid w:val="009C6217"/>
    <w:rsid w:val="009D048A"/>
    <w:rsid w:val="009D22D2"/>
    <w:rsid w:val="009D5AB8"/>
    <w:rsid w:val="009D71B6"/>
    <w:rsid w:val="009D7636"/>
    <w:rsid w:val="009E094E"/>
    <w:rsid w:val="009E303D"/>
    <w:rsid w:val="009E6977"/>
    <w:rsid w:val="009F4E3A"/>
    <w:rsid w:val="00A13F39"/>
    <w:rsid w:val="00A22100"/>
    <w:rsid w:val="00A23448"/>
    <w:rsid w:val="00A35D4F"/>
    <w:rsid w:val="00A37093"/>
    <w:rsid w:val="00A3731E"/>
    <w:rsid w:val="00A4005C"/>
    <w:rsid w:val="00A40A1E"/>
    <w:rsid w:val="00A47190"/>
    <w:rsid w:val="00A52E22"/>
    <w:rsid w:val="00A5370E"/>
    <w:rsid w:val="00A54701"/>
    <w:rsid w:val="00A6120D"/>
    <w:rsid w:val="00A6631A"/>
    <w:rsid w:val="00A74524"/>
    <w:rsid w:val="00A7636A"/>
    <w:rsid w:val="00A800EA"/>
    <w:rsid w:val="00A8193F"/>
    <w:rsid w:val="00AB26C4"/>
    <w:rsid w:val="00AC2991"/>
    <w:rsid w:val="00AC3228"/>
    <w:rsid w:val="00AD5C40"/>
    <w:rsid w:val="00AE6017"/>
    <w:rsid w:val="00AE69E9"/>
    <w:rsid w:val="00AF00CF"/>
    <w:rsid w:val="00AF2FC5"/>
    <w:rsid w:val="00B107E7"/>
    <w:rsid w:val="00B12ADC"/>
    <w:rsid w:val="00B12C28"/>
    <w:rsid w:val="00B25DC5"/>
    <w:rsid w:val="00B27199"/>
    <w:rsid w:val="00B3506B"/>
    <w:rsid w:val="00B443FB"/>
    <w:rsid w:val="00B445C4"/>
    <w:rsid w:val="00B503BF"/>
    <w:rsid w:val="00B569BD"/>
    <w:rsid w:val="00B57757"/>
    <w:rsid w:val="00B6615C"/>
    <w:rsid w:val="00B6661F"/>
    <w:rsid w:val="00B67DD8"/>
    <w:rsid w:val="00B7080E"/>
    <w:rsid w:val="00B73D8A"/>
    <w:rsid w:val="00B74C0F"/>
    <w:rsid w:val="00B772B0"/>
    <w:rsid w:val="00B773FD"/>
    <w:rsid w:val="00B91FDB"/>
    <w:rsid w:val="00B92B3D"/>
    <w:rsid w:val="00B96E47"/>
    <w:rsid w:val="00B97B8A"/>
    <w:rsid w:val="00BB0DD4"/>
    <w:rsid w:val="00BB613B"/>
    <w:rsid w:val="00BB7D11"/>
    <w:rsid w:val="00BC3F4F"/>
    <w:rsid w:val="00BE17F7"/>
    <w:rsid w:val="00BE32F4"/>
    <w:rsid w:val="00BE33C0"/>
    <w:rsid w:val="00BE7E66"/>
    <w:rsid w:val="00BF130F"/>
    <w:rsid w:val="00BF7331"/>
    <w:rsid w:val="00C06C83"/>
    <w:rsid w:val="00C06F07"/>
    <w:rsid w:val="00C10669"/>
    <w:rsid w:val="00C14A77"/>
    <w:rsid w:val="00C16D56"/>
    <w:rsid w:val="00C2014A"/>
    <w:rsid w:val="00C26DA0"/>
    <w:rsid w:val="00C414BE"/>
    <w:rsid w:val="00C4483E"/>
    <w:rsid w:val="00C53720"/>
    <w:rsid w:val="00C77C2D"/>
    <w:rsid w:val="00C83C9D"/>
    <w:rsid w:val="00CA2F21"/>
    <w:rsid w:val="00CA2F9C"/>
    <w:rsid w:val="00CB2F50"/>
    <w:rsid w:val="00CB3DB9"/>
    <w:rsid w:val="00CB741A"/>
    <w:rsid w:val="00CC1F9D"/>
    <w:rsid w:val="00CC4E8E"/>
    <w:rsid w:val="00CD0AB1"/>
    <w:rsid w:val="00CD1EEB"/>
    <w:rsid w:val="00CD3E91"/>
    <w:rsid w:val="00CD4AF0"/>
    <w:rsid w:val="00CD7A26"/>
    <w:rsid w:val="00CE6046"/>
    <w:rsid w:val="00CE67D9"/>
    <w:rsid w:val="00CF31BE"/>
    <w:rsid w:val="00D019B6"/>
    <w:rsid w:val="00D01F48"/>
    <w:rsid w:val="00D02E41"/>
    <w:rsid w:val="00D05448"/>
    <w:rsid w:val="00D07473"/>
    <w:rsid w:val="00D12EA1"/>
    <w:rsid w:val="00D20664"/>
    <w:rsid w:val="00D21386"/>
    <w:rsid w:val="00D224F5"/>
    <w:rsid w:val="00D23083"/>
    <w:rsid w:val="00D34E3B"/>
    <w:rsid w:val="00D354FE"/>
    <w:rsid w:val="00D36B11"/>
    <w:rsid w:val="00D421AE"/>
    <w:rsid w:val="00D432C1"/>
    <w:rsid w:val="00D465F5"/>
    <w:rsid w:val="00D5560A"/>
    <w:rsid w:val="00D56ED6"/>
    <w:rsid w:val="00D60E4E"/>
    <w:rsid w:val="00D6328C"/>
    <w:rsid w:val="00D65354"/>
    <w:rsid w:val="00D71614"/>
    <w:rsid w:val="00D71925"/>
    <w:rsid w:val="00D842C4"/>
    <w:rsid w:val="00D9548E"/>
    <w:rsid w:val="00DA3526"/>
    <w:rsid w:val="00DA78A2"/>
    <w:rsid w:val="00DB13AF"/>
    <w:rsid w:val="00DB5C32"/>
    <w:rsid w:val="00DB7791"/>
    <w:rsid w:val="00DC6746"/>
    <w:rsid w:val="00DD1F89"/>
    <w:rsid w:val="00DD3144"/>
    <w:rsid w:val="00DE3680"/>
    <w:rsid w:val="00DE6A4E"/>
    <w:rsid w:val="00DF57A7"/>
    <w:rsid w:val="00E00656"/>
    <w:rsid w:val="00E03EB1"/>
    <w:rsid w:val="00E061B3"/>
    <w:rsid w:val="00E06FB8"/>
    <w:rsid w:val="00E16A79"/>
    <w:rsid w:val="00E20A9A"/>
    <w:rsid w:val="00E21ACA"/>
    <w:rsid w:val="00E26A11"/>
    <w:rsid w:val="00E32CA8"/>
    <w:rsid w:val="00E35B17"/>
    <w:rsid w:val="00E364B1"/>
    <w:rsid w:val="00E510D8"/>
    <w:rsid w:val="00E52313"/>
    <w:rsid w:val="00E56862"/>
    <w:rsid w:val="00E62E48"/>
    <w:rsid w:val="00E64F68"/>
    <w:rsid w:val="00E656B3"/>
    <w:rsid w:val="00E66155"/>
    <w:rsid w:val="00E857AC"/>
    <w:rsid w:val="00E95D2F"/>
    <w:rsid w:val="00EA2323"/>
    <w:rsid w:val="00EA6DCA"/>
    <w:rsid w:val="00EB1005"/>
    <w:rsid w:val="00EB1742"/>
    <w:rsid w:val="00EC7ACE"/>
    <w:rsid w:val="00ED2C74"/>
    <w:rsid w:val="00EF359A"/>
    <w:rsid w:val="00F0075D"/>
    <w:rsid w:val="00F0174F"/>
    <w:rsid w:val="00F07954"/>
    <w:rsid w:val="00F17447"/>
    <w:rsid w:val="00F25E18"/>
    <w:rsid w:val="00F301A6"/>
    <w:rsid w:val="00F33D45"/>
    <w:rsid w:val="00F41AAF"/>
    <w:rsid w:val="00F459B9"/>
    <w:rsid w:val="00F52196"/>
    <w:rsid w:val="00F52F70"/>
    <w:rsid w:val="00F55E6D"/>
    <w:rsid w:val="00F60354"/>
    <w:rsid w:val="00F62BBE"/>
    <w:rsid w:val="00F642D5"/>
    <w:rsid w:val="00F65D55"/>
    <w:rsid w:val="00F71170"/>
    <w:rsid w:val="00F74255"/>
    <w:rsid w:val="00F87C6E"/>
    <w:rsid w:val="00F94F02"/>
    <w:rsid w:val="00F96577"/>
    <w:rsid w:val="00F97DEF"/>
    <w:rsid w:val="00FA3E45"/>
    <w:rsid w:val="00FB4247"/>
    <w:rsid w:val="00FB69EA"/>
    <w:rsid w:val="00FD5E16"/>
    <w:rsid w:val="00FD5FA8"/>
    <w:rsid w:val="00FD707B"/>
    <w:rsid w:val="00FD759F"/>
    <w:rsid w:val="00FF34EE"/>
    <w:rsid w:val="00FF5DA1"/>
    <w:rsid w:val="00FF5F78"/>
    <w:rsid w:val="129744E8"/>
    <w:rsid w:val="35E95AEF"/>
    <w:rsid w:val="4EA03445"/>
    <w:rsid w:val="6EDB8BA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8FE0F"/>
  <w15:chartTrackingRefBased/>
  <w15:docId w15:val="{01677652-5685-44E7-A03D-8362AC6C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170"/>
    <w:pPr>
      <w:spacing w:after="0" w:line="240" w:lineRule="auto"/>
    </w:pPr>
    <w:rPr>
      <w:rFonts w:ascii="Verdana" w:eastAsia="Times New Roman" w:hAnsi="Verdana"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1170"/>
    <w:pPr>
      <w:tabs>
        <w:tab w:val="center" w:pos="4536"/>
        <w:tab w:val="right" w:pos="9072"/>
      </w:tabs>
    </w:pPr>
    <w:rPr>
      <w:sz w:val="16"/>
    </w:rPr>
  </w:style>
  <w:style w:type="character" w:customStyle="1" w:styleId="FooterChar">
    <w:name w:val="Footer Char"/>
    <w:basedOn w:val="DefaultParagraphFont"/>
    <w:link w:val="Footer"/>
    <w:uiPriority w:val="99"/>
    <w:rsid w:val="00F71170"/>
    <w:rPr>
      <w:rFonts w:ascii="Verdana" w:eastAsia="Times New Roman" w:hAnsi="Verdana" w:cs="Times New Roman"/>
      <w:sz w:val="16"/>
      <w:szCs w:val="24"/>
      <w:lang w:val="en-GB"/>
    </w:rPr>
  </w:style>
  <w:style w:type="paragraph" w:styleId="Header">
    <w:name w:val="header"/>
    <w:basedOn w:val="Normal"/>
    <w:link w:val="HeaderChar"/>
    <w:uiPriority w:val="99"/>
    <w:rsid w:val="00F71170"/>
    <w:pPr>
      <w:tabs>
        <w:tab w:val="center" w:pos="4536"/>
        <w:tab w:val="right" w:pos="9072"/>
      </w:tabs>
    </w:pPr>
    <w:rPr>
      <w:sz w:val="16"/>
    </w:rPr>
  </w:style>
  <w:style w:type="character" w:customStyle="1" w:styleId="HeaderChar">
    <w:name w:val="Header Char"/>
    <w:basedOn w:val="DefaultParagraphFont"/>
    <w:link w:val="Header"/>
    <w:uiPriority w:val="99"/>
    <w:rsid w:val="00F71170"/>
    <w:rPr>
      <w:rFonts w:ascii="Verdana" w:eastAsia="Times New Roman" w:hAnsi="Verdana" w:cs="Times New Roman"/>
      <w:sz w:val="16"/>
      <w:szCs w:val="24"/>
      <w:lang w:val="en-GB"/>
    </w:rPr>
  </w:style>
  <w:style w:type="paragraph" w:styleId="ListParagraph">
    <w:name w:val="List Paragraph"/>
    <w:basedOn w:val="Normal"/>
    <w:uiPriority w:val="99"/>
    <w:qFormat/>
    <w:rsid w:val="00F71170"/>
    <w:pPr>
      <w:ind w:left="720"/>
      <w:contextualSpacing/>
    </w:pPr>
  </w:style>
  <w:style w:type="character" w:styleId="CommentReference">
    <w:name w:val="annotation reference"/>
    <w:basedOn w:val="DefaultParagraphFont"/>
    <w:uiPriority w:val="99"/>
    <w:rsid w:val="00F71170"/>
    <w:rPr>
      <w:rFonts w:cs="Times New Roman"/>
      <w:sz w:val="16"/>
      <w:szCs w:val="16"/>
    </w:rPr>
  </w:style>
  <w:style w:type="paragraph" w:styleId="CommentText">
    <w:name w:val="annotation text"/>
    <w:basedOn w:val="Normal"/>
    <w:link w:val="CommentTextChar"/>
    <w:uiPriority w:val="99"/>
    <w:rsid w:val="00F71170"/>
    <w:rPr>
      <w:szCs w:val="20"/>
    </w:rPr>
  </w:style>
  <w:style w:type="character" w:customStyle="1" w:styleId="CommentTextChar">
    <w:name w:val="Comment Text Char"/>
    <w:basedOn w:val="DefaultParagraphFont"/>
    <w:link w:val="CommentText"/>
    <w:uiPriority w:val="99"/>
    <w:rsid w:val="00F71170"/>
    <w:rPr>
      <w:rFonts w:ascii="Verdana" w:eastAsia="Times New Roman" w:hAnsi="Verdana" w:cs="Times New Roman"/>
      <w:sz w:val="20"/>
      <w:szCs w:val="20"/>
      <w:lang w:val="en-GB"/>
    </w:rPr>
  </w:style>
  <w:style w:type="table" w:customStyle="1" w:styleId="TableGrid1">
    <w:name w:val="Table Grid1"/>
    <w:basedOn w:val="TableNormal"/>
    <w:next w:val="TableGrid"/>
    <w:uiPriority w:val="39"/>
    <w:rsid w:val="00F7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7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1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A1F9A"/>
    <w:rPr>
      <w:b/>
      <w:bCs/>
    </w:rPr>
  </w:style>
  <w:style w:type="character" w:customStyle="1" w:styleId="CommentSubjectChar">
    <w:name w:val="Comment Subject Char"/>
    <w:basedOn w:val="CommentTextChar"/>
    <w:link w:val="CommentSubject"/>
    <w:uiPriority w:val="99"/>
    <w:semiHidden/>
    <w:rsid w:val="002A1F9A"/>
    <w:rPr>
      <w:rFonts w:ascii="Verdana" w:eastAsia="Times New Roman" w:hAnsi="Verdana" w:cs="Times New Roman"/>
      <w:b/>
      <w:bCs/>
      <w:sz w:val="20"/>
      <w:szCs w:val="20"/>
      <w:lang w:val="en-GB"/>
    </w:rPr>
  </w:style>
  <w:style w:type="paragraph" w:styleId="BalloonText">
    <w:name w:val="Balloon Text"/>
    <w:basedOn w:val="Normal"/>
    <w:link w:val="BalloonTextChar"/>
    <w:uiPriority w:val="99"/>
    <w:semiHidden/>
    <w:unhideWhenUsed/>
    <w:rsid w:val="002A1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F9A"/>
    <w:rPr>
      <w:rFonts w:ascii="Segoe UI" w:eastAsia="Times New Roman" w:hAnsi="Segoe UI" w:cs="Segoe UI"/>
      <w:sz w:val="18"/>
      <w:szCs w:val="18"/>
      <w:lang w:val="en-GB"/>
    </w:rPr>
  </w:style>
  <w:style w:type="paragraph" w:styleId="Revision">
    <w:name w:val="Revision"/>
    <w:hidden/>
    <w:uiPriority w:val="99"/>
    <w:semiHidden/>
    <w:rsid w:val="002C5CF1"/>
    <w:pPr>
      <w:spacing w:after="0" w:line="240" w:lineRule="auto"/>
    </w:pPr>
    <w:rPr>
      <w:rFonts w:ascii="Verdana" w:eastAsia="Times New Roman" w:hAnsi="Verdana"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895606">
      <w:bodyDiv w:val="1"/>
      <w:marLeft w:val="0"/>
      <w:marRight w:val="0"/>
      <w:marTop w:val="0"/>
      <w:marBottom w:val="0"/>
      <w:divBdr>
        <w:top w:val="none" w:sz="0" w:space="0" w:color="auto"/>
        <w:left w:val="none" w:sz="0" w:space="0" w:color="auto"/>
        <w:bottom w:val="none" w:sz="0" w:space="0" w:color="auto"/>
        <w:right w:val="none" w:sz="0" w:space="0" w:color="auto"/>
      </w:divBdr>
    </w:div>
    <w:div w:id="21377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825bb2b-76df-41d0-be9d-6c7ae633f243" ContentTypeId="0x0101007C1C482EA2407B46978CD19146BD16FF"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f49b81ab-bf26-4d45-b300-768da719a145">
      <Value>1</Value>
    </TaxCatchAll>
    <p8191ef0495d4ed68b4ec414351aa919 xmlns="f49b81ab-bf26-4d45-b300-768da719a145">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d9d156ae-8b44-4ce7-a0e6-9b95f7f60d65</TermId>
        </TermInfo>
      </Terms>
    </p8191ef0495d4ed68b4ec414351aa919>
  </documentManagement>
</p:properties>
</file>

<file path=customXml/item3.xml><?xml version="1.0" encoding="utf-8"?>
<ct:contentTypeSchema xmlns:ct="http://schemas.microsoft.com/office/2006/metadata/contentType" xmlns:ma="http://schemas.microsoft.com/office/2006/metadata/properties/metaAttributes" ct:_="" ma:_="" ma:contentTypeName="North Sea Wind Document" ma:contentTypeID="0x0101007C1C482EA2407B46978CD19146BD16FF00D055D8D567E70B409A1B3CE30D65B1A900D2E553B3EECE8A4C9C265FB03D4F6546" ma:contentTypeVersion="15" ma:contentTypeDescription="" ma:contentTypeScope="" ma:versionID="5945540d9c5aded8747d036c87a569bc">
  <xsd:schema xmlns:xsd="http://www.w3.org/2001/XMLSchema" xmlns:xs="http://www.w3.org/2001/XMLSchema" xmlns:p="http://schemas.microsoft.com/office/2006/metadata/properties" xmlns:ns2="f49b81ab-bf26-4d45-b300-768da719a145" xmlns:ns4="e41d1fa6-9138-49a3-95bb-48ca78c05645" targetNamespace="http://schemas.microsoft.com/office/2006/metadata/properties" ma:root="true" ma:fieldsID="b62fa8ebd602a1f23507672c62be6ab8" ns2:_="" ns4:_="">
    <xsd:import namespace="f49b81ab-bf26-4d45-b300-768da719a145"/>
    <xsd:import namespace="e41d1fa6-9138-49a3-95bb-48ca78c05645"/>
    <xsd:element name="properties">
      <xsd:complexType>
        <xsd:sequence>
          <xsd:element name="documentManagement">
            <xsd:complexType>
              <xsd:all>
                <xsd:element ref="ns2:p8191ef0495d4ed68b4ec414351aa919" minOccurs="0"/>
                <xsd:element ref="ns2:TaxCatchAll" minOccurs="0"/>
                <xsd:element ref="ns2:TaxCatchAllLabe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b81ab-bf26-4d45-b300-768da719a145" elementFormDefault="qualified">
    <xsd:import namespace="http://schemas.microsoft.com/office/2006/documentManagement/types"/>
    <xsd:import namespace="http://schemas.microsoft.com/office/infopath/2007/PartnerControls"/>
    <xsd:element name="p8191ef0495d4ed68b4ec414351aa919" ma:index="7" nillable="true" ma:taxonomy="true" ma:internalName="p8191ef0495d4ed68b4ec414351aa919" ma:taxonomyFieldName="document_x0020_status" ma:displayName="document status" ma:default="1;#draft|d9d156ae-8b44-4ce7-a0e6-9b95f7f60d65" ma:fieldId="{98191ef0-495d-4ed6-8b4e-c414351aa919}" ma:sspId="d825bb2b-76df-41d0-be9d-6c7ae633f243" ma:termSetId="d01841fc-d1ff-4965-9eec-0dd2471efe10" ma:anchorId="00000000-0000-0000-0000-000000000000" ma:open="false" ma:isKeyword="false">
      <xsd:complexType>
        <xsd:sequence>
          <xsd:element ref="pc:Terms" minOccurs="0" maxOccurs="1"/>
        </xsd:sequence>
      </xsd:complexType>
    </xsd:element>
    <xsd:element name="TaxCatchAll" ma:index="8" nillable="true" ma:displayName="Taxonomy Catch All Column" ma:hidden="true" ma:list="{55be4ced-ae2a-4c65-a84c-3e46edc161a1}" ma:internalName="TaxCatchAll" ma:showField="CatchAllData" ma:web="48058d0a-39e3-4f13-afd9-9ee055d1854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5be4ced-ae2a-4c65-a84c-3e46edc161a1}" ma:internalName="TaxCatchAllLabel" ma:readOnly="true" ma:showField="CatchAllDataLabel" ma:web="48058d0a-39e3-4f13-afd9-9ee055d185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1d1fa6-9138-49a3-95bb-48ca78c0564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87104-8346-4674-8BD8-7F8CCD678351}">
  <ds:schemaRefs>
    <ds:schemaRef ds:uri="Microsoft.SharePoint.Taxonomy.ContentTypeSync"/>
  </ds:schemaRefs>
</ds:datastoreItem>
</file>

<file path=customXml/itemProps2.xml><?xml version="1.0" encoding="utf-8"?>
<ds:datastoreItem xmlns:ds="http://schemas.openxmlformats.org/officeDocument/2006/customXml" ds:itemID="{D274BA1E-FBBF-418E-BAD6-ADE950B90CBD}">
  <ds:schemaRefs>
    <ds:schemaRef ds:uri="http://schemas.microsoft.com/office/2006/metadata/properties"/>
    <ds:schemaRef ds:uri="http://schemas.microsoft.com/office/infopath/2007/PartnerControls"/>
    <ds:schemaRef ds:uri="f49b81ab-bf26-4d45-b300-768da719a145"/>
  </ds:schemaRefs>
</ds:datastoreItem>
</file>

<file path=customXml/itemProps3.xml><?xml version="1.0" encoding="utf-8"?>
<ds:datastoreItem xmlns:ds="http://schemas.openxmlformats.org/officeDocument/2006/customXml" ds:itemID="{44A2C12D-8DA2-4424-B12C-EB877440A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b81ab-bf26-4d45-b300-768da719a145"/>
    <ds:schemaRef ds:uri="e41d1fa6-9138-49a3-95bb-48ca78c05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F2A3D-8529-402D-86EB-22A0BF2F388C}">
  <ds:schemaRefs>
    <ds:schemaRef ds:uri="http://schemas.microsoft.com/office/2006/metadata/customXsn"/>
  </ds:schemaRefs>
</ds:datastoreItem>
</file>

<file path=customXml/itemProps5.xml><?xml version="1.0" encoding="utf-8"?>
<ds:datastoreItem xmlns:ds="http://schemas.openxmlformats.org/officeDocument/2006/customXml" ds:itemID="{E846B1CB-E50C-4335-9FFB-0F5ECDA8E7B4}">
  <ds:schemaRefs>
    <ds:schemaRef ds:uri="http://schemas.openxmlformats.org/officeDocument/2006/bibliography"/>
  </ds:schemaRefs>
</ds:datastoreItem>
</file>

<file path=customXml/itemProps6.xml><?xml version="1.0" encoding="utf-8"?>
<ds:datastoreItem xmlns:ds="http://schemas.openxmlformats.org/officeDocument/2006/customXml" ds:itemID="{FE49FECB-BD22-4CE4-8B37-C079215A74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 Mertens</dc:creator>
  <cp:keywords/>
  <dc:description/>
  <cp:lastModifiedBy>Chris Avermaete</cp:lastModifiedBy>
  <cp:revision>157</cp:revision>
  <dcterms:created xsi:type="dcterms:W3CDTF">2023-03-02T05:57:00Z</dcterms:created>
  <dcterms:modified xsi:type="dcterms:W3CDTF">2024-04-16T14:52:00Z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c1a6db-61e6-48ee-8cc6-a6fd43295f94_Enabled">
    <vt:lpwstr>true</vt:lpwstr>
  </property>
  <property fmtid="{D5CDD505-2E9C-101B-9397-08002B2CF9AE}" pid="3" name="MSIP_Label_6ac1a6db-61e6-48ee-8cc6-a6fd43295f94_SetDate">
    <vt:lpwstr>2021-04-08T18:07:28Z</vt:lpwstr>
  </property>
  <property fmtid="{D5CDD505-2E9C-101B-9397-08002B2CF9AE}" pid="4" name="MSIP_Label_6ac1a6db-61e6-48ee-8cc6-a6fd43295f94_Method">
    <vt:lpwstr>Standard</vt:lpwstr>
  </property>
  <property fmtid="{D5CDD505-2E9C-101B-9397-08002B2CF9AE}" pid="5" name="MSIP_Label_6ac1a6db-61e6-48ee-8cc6-a6fd43295f94_Name">
    <vt:lpwstr>Internal</vt:lpwstr>
  </property>
  <property fmtid="{D5CDD505-2E9C-101B-9397-08002B2CF9AE}" pid="6" name="MSIP_Label_6ac1a6db-61e6-48ee-8cc6-a6fd43295f94_SiteId">
    <vt:lpwstr>334e4193-2881-43bf-9081-18f9ea6dd39e</vt:lpwstr>
  </property>
  <property fmtid="{D5CDD505-2E9C-101B-9397-08002B2CF9AE}" pid="7" name="MSIP_Label_6ac1a6db-61e6-48ee-8cc6-a6fd43295f94_ActionId">
    <vt:lpwstr>7030a9f2-11c3-4b2c-8470-cfcdfd1d4e56</vt:lpwstr>
  </property>
  <property fmtid="{D5CDD505-2E9C-101B-9397-08002B2CF9AE}" pid="8" name="MSIP_Label_6ac1a6db-61e6-48ee-8cc6-a6fd43295f94_ContentBits">
    <vt:lpwstr>0</vt:lpwstr>
  </property>
  <property fmtid="{D5CDD505-2E9C-101B-9397-08002B2CF9AE}" pid="9" name="ContentTypeId">
    <vt:lpwstr>0x0101007C1C482EA2407B46978CD19146BD16FF00D055D8D567E70B409A1B3CE30D65B1A900D2E553B3EECE8A4C9C265FB03D4F6546</vt:lpwstr>
  </property>
  <property fmtid="{D5CDD505-2E9C-101B-9397-08002B2CF9AE}" pid="10" name="document status">
    <vt:lpwstr>1;#draft|d9d156ae-8b44-4ce7-a0e6-9b95f7f60d65</vt:lpwstr>
  </property>
  <property fmtid="{D5CDD505-2E9C-101B-9397-08002B2CF9AE}" pid="11" name="Order">
    <vt:r8>23100</vt:r8>
  </property>
  <property fmtid="{D5CDD505-2E9C-101B-9397-08002B2CF9AE}" pid="12" name="URL">
    <vt:lpwstr/>
  </property>
  <property fmtid="{D5CDD505-2E9C-101B-9397-08002B2CF9AE}" pid="13" name="xd_Signature">
    <vt:bool>false</vt:bool>
  </property>
  <property fmtid="{D5CDD505-2E9C-101B-9397-08002B2CF9AE}" pid="14" name="xd_ProgID">
    <vt:lpwstr/>
  </property>
  <property fmtid="{D5CDD505-2E9C-101B-9397-08002B2CF9AE}" pid="15" name="DocumentSetDescription">
    <vt:lpwstr/>
  </property>
  <property fmtid="{D5CDD505-2E9C-101B-9397-08002B2CF9AE}" pid="16" name="ComplianceAssetId">
    <vt:lpwstr/>
  </property>
  <property fmtid="{D5CDD505-2E9C-101B-9397-08002B2CF9AE}" pid="17" name="TemplateUrl">
    <vt:lpwstr/>
  </property>
  <property fmtid="{D5CDD505-2E9C-101B-9397-08002B2CF9AE}" pid="18" name="TaxKeyword">
    <vt:lpwstr/>
  </property>
  <property fmtid="{D5CDD505-2E9C-101B-9397-08002B2CF9AE}" pid="19" name="c401df82ca87476a858194ca80074b42">
    <vt:lpwstr/>
  </property>
  <property fmtid="{D5CDD505-2E9C-101B-9397-08002B2CF9AE}" pid="20" name="Contractor">
    <vt:lpwstr/>
  </property>
  <property fmtid="{D5CDD505-2E9C-101B-9397-08002B2CF9AE}" pid="21" name="l1298e0c909042fe8ff58de2186a449c">
    <vt:lpwstr/>
  </property>
  <property fmtid="{D5CDD505-2E9C-101B-9397-08002B2CF9AE}" pid="22" name="Contract_x0020_type">
    <vt:lpwstr/>
  </property>
  <property fmtid="{D5CDD505-2E9C-101B-9397-08002B2CF9AE}" pid="23" name="Contract type">
    <vt:lpwstr/>
  </property>
</Properties>
</file>